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嘻游旅行团队/散客确认书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飞天国旅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18644081456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浙江嘻游国际旅行社有限公司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韩梦瑶</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XY-WPJN-20230921A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9月王牌双飞6日0自费0购物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2023-09-21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2023-09-26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14(12大2小)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1、刘春芝</w:t>
            </w:r>
          </w:p>
        </w:tc>
        <w:tc>
          <w:tcPr>
            <w:tcW w:w="2310" w:type="dxa"/>
            <w:vAlign w:val="center"/>
            <w:gridSpan w:val="2"/>
          </w:tcPr>
          <w:p>
            <w:pPr/>
            <w:r>
              <w:rPr>
                <w:lang w:val="zh-CN"/>
                <w:rFonts w:ascii="Times New Roman" w:hAnsi="Times New Roman" w:cs="Times New Roman"/>
                <w:sz w:val="20"/>
                <w:szCs w:val="20"/>
                <w:color w:val="000000"/>
              </w:rPr>
              <w:t>230602195905093442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2、曹玉芳</w:t>
            </w:r>
          </w:p>
        </w:tc>
        <w:tc>
          <w:tcPr>
            <w:tcW w:w="2310" w:type="dxa"/>
            <w:vAlign w:val="center"/>
            <w:gridSpan w:val="2"/>
          </w:tcPr>
          <w:p>
            <w:pPr/>
            <w:r>
              <w:rPr>
                <w:lang w:val="zh-CN"/>
                <w:rFonts w:ascii="Times New Roman" w:hAnsi="Times New Roman" w:cs="Times New Roman"/>
                <w:sz w:val="20"/>
                <w:szCs w:val="20"/>
                <w:color w:val="000000"/>
              </w:rPr>
              <w:t>230602196007032327</w:t>
            </w:r>
          </w:p>
        </w:tc>
        <w:tc>
          <w:tcPr>
            <w:tcW w:w="2310" w:type="dxa"/>
            <w:vAlign w:val="center"/>
          </w:tcPr>
          <w:p>
            <w:pPr/>
            <w:r>
              <w:rPr>
                <w:lang w:val="zh-CN"/>
                <w:rFonts w:ascii="Times New Roman" w:hAnsi="Times New Roman" w:cs="Times New Roman"/>
                <w:sz w:val="20"/>
                <w:szCs w:val="20"/>
                <w:color w:val="000000"/>
              </w:rPr>
              <w:t>13945975831</w:t>
            </w:r>
          </w:p>
        </w:tc>
      </w:tr>
      <w:tr>
        <w:tc>
          <w:tcPr>
            <w:tcW w:w="2310" w:type="dxa"/>
            <w:vAlign w:val="center"/>
          </w:tcPr>
          <w:p>
            <w:pPr/>
            <w:r>
              <w:rPr>
                <w:lang w:val="zh-CN"/>
                <w:rFonts w:ascii="Times New Roman" w:hAnsi="Times New Roman" w:cs="Times New Roman"/>
                <w:sz w:val="20"/>
                <w:szCs w:val="20"/>
                <w:color w:val="000000"/>
              </w:rPr>
              <w:t>3、刘倬然</w:t>
            </w:r>
          </w:p>
        </w:tc>
        <w:tc>
          <w:tcPr>
            <w:tcW w:w="2310" w:type="dxa"/>
            <w:vAlign w:val="center"/>
            <w:gridSpan w:val="2"/>
          </w:tcPr>
          <w:p>
            <w:pPr/>
            <w:r>
              <w:rPr>
                <w:lang w:val="zh-CN"/>
                <w:rFonts w:ascii="Times New Roman" w:hAnsi="Times New Roman" w:cs="Times New Roman"/>
                <w:sz w:val="20"/>
                <w:szCs w:val="20"/>
                <w:color w:val="000000"/>
              </w:rPr>
              <w:t>230103199304060618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4、张雨鑫</w:t>
            </w:r>
          </w:p>
        </w:tc>
        <w:tc>
          <w:tcPr>
            <w:tcW w:w="2310" w:type="dxa"/>
            <w:vAlign w:val="center"/>
            <w:gridSpan w:val="2"/>
          </w:tcPr>
          <w:p>
            <w:pPr/>
            <w:r>
              <w:rPr>
                <w:lang w:val="zh-CN"/>
                <w:rFonts w:ascii="Times New Roman" w:hAnsi="Times New Roman" w:cs="Times New Roman"/>
                <w:sz w:val="20"/>
                <w:szCs w:val="20"/>
                <w:color w:val="000000"/>
              </w:rPr>
              <w:t>232303199805271328</w:t>
            </w:r>
          </w:p>
        </w:tc>
        <w:tc>
          <w:tcPr>
            <w:tcW w:w="2310" w:type="dxa"/>
            <w:vAlign w:val="center"/>
          </w:tcPr>
          <w:p>
            <w:pPr/>
            <w:r>
              <w:rPr>
                <w:lang w:val="zh-CN"/>
                <w:rFonts w:ascii="Times New Roman" w:hAnsi="Times New Roman" w:cs="Times New Roman"/>
                <w:sz w:val="20"/>
                <w:szCs w:val="20"/>
                <w:color w:val="000000"/>
              </w:rPr>
              <w:t>15046664336</w:t>
            </w:r>
          </w:p>
        </w:tc>
      </w:tr>
      <w:tr>
        <w:tc>
          <w:tcPr>
            <w:tcW w:w="2310" w:type="dxa"/>
            <w:vAlign w:val="center"/>
          </w:tcPr>
          <w:p>
            <w:pPr/>
            <w:r>
              <w:rPr>
                <w:lang w:val="zh-CN"/>
                <w:rFonts w:ascii="Times New Roman" w:hAnsi="Times New Roman" w:cs="Times New Roman"/>
                <w:sz w:val="20"/>
                <w:szCs w:val="20"/>
                <w:color w:val="000000"/>
              </w:rPr>
              <w:t>5、王海军</w:t>
            </w:r>
          </w:p>
        </w:tc>
        <w:tc>
          <w:tcPr>
            <w:tcW w:w="2310" w:type="dxa"/>
            <w:vAlign w:val="center"/>
            <w:gridSpan w:val="2"/>
          </w:tcPr>
          <w:p>
            <w:pPr/>
            <w:r>
              <w:rPr>
                <w:lang w:val="zh-CN"/>
                <w:rFonts w:ascii="Times New Roman" w:hAnsi="Times New Roman" w:cs="Times New Roman"/>
                <w:sz w:val="20"/>
                <w:szCs w:val="20"/>
                <w:color w:val="000000"/>
              </w:rPr>
              <w:t>232122196005130310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6、马丽霞</w:t>
            </w:r>
          </w:p>
        </w:tc>
        <w:tc>
          <w:tcPr>
            <w:tcW w:w="2310" w:type="dxa"/>
            <w:vAlign w:val="center"/>
            <w:gridSpan w:val="2"/>
          </w:tcPr>
          <w:p>
            <w:pPr/>
            <w:r>
              <w:rPr>
                <w:lang w:val="zh-CN"/>
                <w:rFonts w:ascii="Times New Roman" w:hAnsi="Times New Roman" w:cs="Times New Roman"/>
                <w:sz w:val="20"/>
                <w:szCs w:val="20"/>
                <w:color w:val="000000"/>
              </w:rPr>
              <w:t>230125195710020021</w:t>
            </w:r>
          </w:p>
        </w:tc>
        <w:tc>
          <w:tcPr>
            <w:tcW w:w="2310" w:type="dxa"/>
            <w:vAlign w:val="center"/>
          </w:tcPr>
          <w:p>
            <w:pPr/>
            <w:r>
              <w:rPr>
                <w:lang w:val="zh-CN"/>
                <w:rFonts w:ascii="Times New Roman" w:hAnsi="Times New Roman" w:cs="Times New Roman"/>
                <w:sz w:val="20"/>
                <w:szCs w:val="20"/>
                <w:color w:val="000000"/>
              </w:rPr>
              <w:t>15145154252</w:t>
            </w:r>
          </w:p>
        </w:tc>
      </w:tr>
      <w:tr>
        <w:tc>
          <w:tcPr>
            <w:tcW w:w="2310" w:type="dxa"/>
            <w:vAlign w:val="center"/>
          </w:tcPr>
          <w:p>
            <w:pPr/>
            <w:r>
              <w:rPr>
                <w:lang w:val="zh-CN"/>
                <w:rFonts w:ascii="Times New Roman" w:hAnsi="Times New Roman" w:cs="Times New Roman"/>
                <w:sz w:val="20"/>
                <w:szCs w:val="20"/>
                <w:color w:val="000000"/>
              </w:rPr>
              <w:t>7、赵继双</w:t>
            </w:r>
          </w:p>
        </w:tc>
        <w:tc>
          <w:tcPr>
            <w:tcW w:w="2310" w:type="dxa"/>
            <w:vAlign w:val="center"/>
            <w:gridSpan w:val="2"/>
          </w:tcPr>
          <w:p>
            <w:pPr/>
            <w:r>
              <w:rPr>
                <w:lang w:val="zh-CN"/>
                <w:rFonts w:ascii="Times New Roman" w:hAnsi="Times New Roman" w:cs="Times New Roman"/>
                <w:sz w:val="20"/>
                <w:szCs w:val="20"/>
                <w:color w:val="000000"/>
              </w:rPr>
              <w:t>230604197707262622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8、车传鹏</w:t>
            </w:r>
          </w:p>
        </w:tc>
        <w:tc>
          <w:tcPr>
            <w:tcW w:w="2310" w:type="dxa"/>
            <w:vAlign w:val="center"/>
            <w:gridSpan w:val="2"/>
          </w:tcPr>
          <w:p>
            <w:pPr/>
            <w:r>
              <w:rPr>
                <w:lang w:val="zh-CN"/>
                <w:rFonts w:ascii="Times New Roman" w:hAnsi="Times New Roman" w:cs="Times New Roman"/>
                <w:sz w:val="20"/>
                <w:szCs w:val="20"/>
                <w:color w:val="000000"/>
              </w:rPr>
              <w:t>23060620020223085X</w:t>
            </w:r>
          </w:p>
        </w:tc>
        <w:tc>
          <w:tcPr>
            <w:tcW w:w="2310" w:type="dxa"/>
            <w:vAlign w:val="center"/>
          </w:tcPr>
          <w:p>
            <w:pPr/>
            <w:r>
              <w:rPr>
                <w:lang w:val="zh-CN"/>
                <w:rFonts w:ascii="Times New Roman" w:hAnsi="Times New Roman" w:cs="Times New Roman"/>
                <w:sz w:val="20"/>
                <w:szCs w:val="20"/>
                <w:color w:val="000000"/>
              </w:rPr>
              <w:t>13644698399</w:t>
            </w:r>
          </w:p>
        </w:tc>
      </w:tr>
      <w:tr>
        <w:tc>
          <w:tcPr>
            <w:tcW w:w="2310" w:type="dxa"/>
            <w:vAlign w:val="center"/>
          </w:tcPr>
          <w:p>
            <w:pPr/>
            <w:r>
              <w:rPr>
                <w:lang w:val="zh-CN"/>
                <w:rFonts w:ascii="Times New Roman" w:hAnsi="Times New Roman" w:cs="Times New Roman"/>
                <w:sz w:val="20"/>
                <w:szCs w:val="20"/>
                <w:color w:val="000000"/>
              </w:rPr>
              <w:t>9、贺伟</w:t>
            </w:r>
          </w:p>
        </w:tc>
        <w:tc>
          <w:tcPr>
            <w:tcW w:w="2310" w:type="dxa"/>
            <w:vAlign w:val="center"/>
            <w:gridSpan w:val="2"/>
          </w:tcPr>
          <w:p>
            <w:pPr/>
            <w:r>
              <w:rPr>
                <w:lang w:val="zh-CN"/>
                <w:rFonts w:ascii="Times New Roman" w:hAnsi="Times New Roman" w:cs="Times New Roman"/>
                <w:sz w:val="20"/>
                <w:szCs w:val="20"/>
                <w:color w:val="000000"/>
              </w:rPr>
              <w:t>230403199503210216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10、张海洋</w:t>
            </w:r>
          </w:p>
        </w:tc>
        <w:tc>
          <w:tcPr>
            <w:tcW w:w="2310" w:type="dxa"/>
            <w:vAlign w:val="center"/>
            <w:gridSpan w:val="2"/>
          </w:tcPr>
          <w:p>
            <w:pPr/>
            <w:r>
              <w:rPr>
                <w:lang w:val="zh-CN"/>
                <w:rFonts w:ascii="Times New Roman" w:hAnsi="Times New Roman" w:cs="Times New Roman"/>
                <w:sz w:val="20"/>
                <w:szCs w:val="20"/>
                <w:color w:val="000000"/>
              </w:rPr>
              <w:t>230405199905010447</w:t>
            </w:r>
          </w:p>
        </w:tc>
        <w:tc>
          <w:tcPr>
            <w:tcW w:w="2310" w:type="dxa"/>
            <w:vAlign w:val="center"/>
          </w:tcPr>
          <w:p>
            <w:pPr/>
            <w:r>
              <w:rPr>
                <w:lang w:val="zh-CN"/>
                <w:rFonts w:ascii="Times New Roman" w:hAnsi="Times New Roman" w:cs="Times New Roman"/>
                <w:sz w:val="20"/>
                <w:szCs w:val="20"/>
                <w:color w:val="000000"/>
              </w:rPr>
              <w:t>15846888454、15793812064</w:t>
            </w:r>
          </w:p>
        </w:tc>
      </w:tr>
      <w:tr>
        <w:tc>
          <w:tcPr>
            <w:tcW w:w="2310" w:type="dxa"/>
            <w:vAlign w:val="center"/>
          </w:tcPr>
          <w:p>
            <w:pPr/>
            <w:r>
              <w:rPr>
                <w:lang w:val="zh-CN"/>
                <w:rFonts w:ascii="Times New Roman" w:hAnsi="Times New Roman" w:cs="Times New Roman"/>
                <w:sz w:val="20"/>
                <w:szCs w:val="20"/>
                <w:color w:val="000000"/>
              </w:rPr>
              <w:t>11、迟洪岩</w:t>
            </w:r>
          </w:p>
        </w:tc>
        <w:tc>
          <w:tcPr>
            <w:tcW w:w="2310" w:type="dxa"/>
            <w:vAlign w:val="center"/>
            <w:gridSpan w:val="2"/>
          </w:tcPr>
          <w:p>
            <w:pPr/>
            <w:r>
              <w:rPr>
                <w:lang w:val="zh-CN"/>
                <w:rFonts w:ascii="Times New Roman" w:hAnsi="Times New Roman" w:cs="Times New Roman"/>
                <w:sz w:val="20"/>
                <w:szCs w:val="20"/>
                <w:color w:val="000000"/>
              </w:rPr>
              <w:t>230281198112160614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12、徐茜</w:t>
            </w:r>
          </w:p>
        </w:tc>
        <w:tc>
          <w:tcPr>
            <w:tcW w:w="2310" w:type="dxa"/>
            <w:vAlign w:val="center"/>
            <w:gridSpan w:val="2"/>
          </w:tcPr>
          <w:p>
            <w:pPr/>
            <w:r>
              <w:rPr>
                <w:lang w:val="zh-CN"/>
                <w:rFonts w:ascii="Times New Roman" w:hAnsi="Times New Roman" w:cs="Times New Roman"/>
                <w:sz w:val="20"/>
                <w:szCs w:val="20"/>
                <w:color w:val="000000"/>
              </w:rPr>
              <w:t>23060419861103542X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13、迟雪霏</w:t>
            </w:r>
          </w:p>
        </w:tc>
        <w:tc>
          <w:tcPr>
            <w:tcW w:w="2310" w:type="dxa"/>
            <w:vAlign w:val="center"/>
            <w:gridSpan w:val="2"/>
          </w:tcPr>
          <w:p>
            <w:pPr/>
            <w:r>
              <w:rPr>
                <w:lang w:val="zh-CN"/>
                <w:rFonts w:ascii="Times New Roman" w:hAnsi="Times New Roman" w:cs="Times New Roman"/>
                <w:sz w:val="20"/>
                <w:szCs w:val="20"/>
                <w:color w:val="000000"/>
              </w:rPr>
              <w:t>230602201711133221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14、迟雨霏</w:t>
            </w:r>
          </w:p>
        </w:tc>
        <w:tc>
          <w:tcPr>
            <w:tcW w:w="2310" w:type="dxa"/>
            <w:vAlign w:val="center"/>
            <w:gridSpan w:val="2"/>
          </w:tcPr>
          <w:p>
            <w:pPr/>
            <w:r>
              <w:rPr>
                <w:lang w:val="zh-CN"/>
                <w:rFonts w:ascii="Times New Roman" w:hAnsi="Times New Roman" w:cs="Times New Roman"/>
                <w:sz w:val="20"/>
                <w:szCs w:val="20"/>
                <w:color w:val="000000"/>
              </w:rPr>
              <w:t>230602201711133248</w:t>
            </w:r>
          </w:p>
        </w:tc>
        <w:tc>
          <w:tcPr>
            <w:tcW w:w="2310" w:type="dxa"/>
            <w:vAlign w:val="center"/>
          </w:tcPr>
          <w:p>
            <w:pPr/>
            <w:r>
              <w:rPr>
                <w:lang w:val="zh-CN"/>
                <w:rFonts w:ascii="Times New Roman" w:hAnsi="Times New Roman" w:cs="Times New Roman"/>
                <w:sz w:val="20"/>
                <w:szCs w:val="20"/>
                <w:color w:val="000000"/>
              </w:rPr>
              <w:t>13836782862</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12</w:t>
            </w:r>
          </w:p>
        </w:tc>
        <w:tc>
          <w:tcPr>
            <w:tcW w:w="2310" w:type="dxa"/>
          </w:tcPr>
          <w:p>
            <w:pPr/>
            <w:r>
              <w:rPr>
                <w:lang w:val="zh-CN"/>
                <w:rFonts w:ascii="Times New Roman" w:hAnsi="Times New Roman" w:cs="Times New Roman"/>
                <w:sz w:val="20"/>
                <w:szCs w:val="20"/>
                <w:color w:val="000000"/>
              </w:rPr>
              <w:t>1500.00</w:t>
            </w:r>
          </w:p>
        </w:tc>
        <w:tc>
          <w:tcPr>
            <w:tcW w:w="2310" w:type="dxa"/>
          </w:tcPr>
          <w:p>
            <w:pPr/>
            <w:r>
              <w:rPr>
                <w:lang w:val="zh-CN"/>
                <w:rFonts w:ascii="Times New Roman" w:hAnsi="Times New Roman" w:cs="Times New Roman"/>
                <w:sz w:val="20"/>
                <w:szCs w:val="20"/>
                <w:color w:val="000000"/>
              </w:rPr>
              <w:t>18000.00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总金额：壹万捌仟陆佰元整</w:t>
            </w:r>
          </w:p>
        </w:tc>
        <w:tc>
          <w:tcPr>
            <w:tcW w:w="2310" w:type="dxa"/>
            <w:textDirection w:val="right"/>
            <w:gridSpan w:val="3"/>
          </w:tcPr>
          <w:p>
            <w:pPr/>
            <w:r>
              <w:rPr>
                <w:lang w:val="zh-CN"/>
                <w:rFonts w:ascii="Times New Roman" w:hAnsi="Times New Roman" w:cs="Times New Roman"/>
                <w:b/>
                <w:color w:val="FF0000"/>
              </w:rPr>
              <w:t>18600.00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招商银行杭州分行</w:t>
            </w:r>
          </w:p>
        </w:tc>
        <w:tc>
          <w:tcPr>
            <w:tcW w:w="2310" w:type="dxa"/>
            <w:gridSpan w:val="2"/>
          </w:tcPr>
          <w:p>
            <w:pPr/>
            <w:r>
              <w:rPr>
                <w:lang w:val="zh-CN"/>
                <w:rFonts w:ascii="Times New Roman" w:hAnsi="Times New Roman" w:cs="Times New Roman"/>
                <w:sz w:val="20"/>
                <w:szCs w:val="20"/>
                <w:color w:val="000000"/>
              </w:rPr>
              <w:t>王扬</w:t>
            </w:r>
          </w:p>
        </w:tc>
        <w:tc>
          <w:tcPr>
            <w:tcW w:w="2310" w:type="dxa"/>
            <w:gridSpan w:val="3"/>
          </w:tcPr>
          <w:p>
            <w:pPr/>
            <w:r>
              <w:rPr>
                <w:lang w:val="zh-CN"/>
                <w:rFonts w:ascii="Times New Roman" w:hAnsi="Times New Roman" w:cs="Times New Roman"/>
                <w:sz w:val="20"/>
                <w:szCs w:val="20"/>
                <w:color w:val="000000"/>
              </w:rPr>
              <w:t>000</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2023/09/21</w:t>
            </w:r>
          </w:p>
        </w:tc>
        <w:tc>
          <w:tcPr>
            <w:tcW w:w="2310" w:type="dxa"/>
            <w:gridSpan w:val="7"/>
          </w:tcPr>
          <w:p>
            <w:pPr/>
            <w:r>
              <w:rPr>
                <w:lang w:val="zh-CN"/>
                <w:rFonts w:ascii="Times New Roman" w:hAnsi="Times New Roman" w:cs="Times New Roman"/>
                <w:b/>
                <w:color w:val="000000"/>
              </w:rPr>
              <w:t>哈尔滨----南京(巴士)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各位贵宾于指定的时间哈尔滨机场二楼问讯处集合。前往南京，接团后入住酒店休息。住：南京指定四星未挂牌或携程三钻酒店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早餐：不含；午餐：不含；晚餐：不含；住宿：南京</w:t>
            </w:r>
          </w:p>
        </w:tc>
      </w:tr>
      <w:tr>
        <w:tc>
          <w:tcPr>
            <w:tcW w:w="2310" w:type="dxa"/>
            <w:vAlign w:val="center"/>
            <w:vMerge w:val="restart"/>
          </w:tcPr>
          <w:p>
            <w:pPr/>
            <w:r>
              <w:rPr>
                <w:lang w:val="zh-CN"/>
                <w:rFonts w:ascii="Times New Roman" w:hAnsi="Times New Roman" w:cs="Times New Roman"/>
                <w:sz w:val="20"/>
                <w:szCs w:val="20"/>
                <w:color w:val="000000"/>
              </w:rPr>
              <w:t>2023/09/22</w:t>
            </w:r>
          </w:p>
        </w:tc>
        <w:tc>
          <w:tcPr>
            <w:tcW w:w="2310" w:type="dxa"/>
            <w:gridSpan w:val="7"/>
          </w:tcPr>
          <w:p>
            <w:pPr/>
            <w:r>
              <w:rPr>
                <w:lang w:val="zh-CN"/>
                <w:rFonts w:ascii="Times New Roman" w:hAnsi="Times New Roman" w:cs="Times New Roman"/>
                <w:b/>
                <w:color w:val="000000"/>
              </w:rPr>
              <w:t>南京→无锡→周庄(巴士)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无锡（车程约2H），“太湖佳绝处、毕竟在鼋头”【5A鼋头渚+赠送船游太湖】（游览时间不少于1.5H）游览太湖最佳赏景处：具区胜景、鼋渚春涛、万浪卷雪、鹿顶迎辉、充山隐秀等景区。（太湖游船为景区门票赠送项目，如因天气或景区原因不能乘坐不退费用哦，鼋头渚内旅游大巴车禁止通行，需换景区内环保车40元/人敬请自理）★下午车赴苏州（车程约1.5H）游览苏州私家园林的典范【耦园】（游览时间不少于1.5H）取陶渊明《归辞》中的“园日涉以成趣”之意，黄石假山是耦园的特色。此园因在住宅东西两侧各有一园，故名耦园。耦园三面临河，一面通街，前后设有河埠。粉墙黛瓦，映衬着小桥流水，颇有江南水乡风韵。★车赴周庄（车程约1H）【周庄+四季周庄表演】（游览时间不少于2H）周庄素有“中国第一水乡”美称，是中国江南一个具有九百多年历史的水乡古镇，若要在中国选一个最具代表性的水乡古镇，毫无疑问，她就是“中国第一水乡”周庄。千年历史沧桑和浓郁吴地文化孕育的周庄，以其灵秀的水乡风貌，独特的人文景观，质朴的民俗风情，成为东方文化的瑰宝。游沈厅了解江南巨富沈万三的传奇故事，览张厅体验桥从门前进，明代官宅特色和介绍，观旅美画家陈逸飞的油画《故乡的回忆》中而闻名的-双桥等景区。【温馨提示】：由于周庄受古迹保护，周庄大桥禁止大巴车通过，需要换乘景区电瓶车驶入，电瓶车20元/人敬请自理！后入住酒店休息。住：周庄外精品特色客栈，参考酒店：三月里客栈。十三月客栈。灯火万家。朝夕客栈。稻花香舍，聚满楼。秋月阁，意诚客栈或同级（水乡外特色客栈住宿，条件略比城市低还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早餐：含；午餐：含；晚餐：含；住宿：周庄外</w:t>
            </w:r>
          </w:p>
        </w:tc>
      </w:tr>
      <w:tr>
        <w:tc>
          <w:tcPr>
            <w:tcW w:w="2310" w:type="dxa"/>
            <w:vAlign w:val="center"/>
            <w:vMerge w:val="restart"/>
          </w:tcPr>
          <w:p>
            <w:pPr/>
            <w:r>
              <w:rPr>
                <w:lang w:val="zh-CN"/>
                <w:rFonts w:ascii="Times New Roman" w:hAnsi="Times New Roman" w:cs="Times New Roman"/>
                <w:sz w:val="20"/>
                <w:szCs w:val="20"/>
                <w:color w:val="000000"/>
              </w:rPr>
              <w:t>2023/09/23</w:t>
            </w:r>
          </w:p>
        </w:tc>
        <w:tc>
          <w:tcPr>
            <w:tcW w:w="2310" w:type="dxa"/>
            <w:gridSpan w:val="7"/>
          </w:tcPr>
          <w:p>
            <w:pPr/>
            <w:r>
              <w:rPr>
                <w:lang w:val="zh-CN"/>
                <w:rFonts w:ascii="Times New Roman" w:hAnsi="Times New Roman" w:cs="Times New Roman"/>
                <w:b/>
                <w:color w:val="000000"/>
              </w:rPr>
              <w:t>周庄→乌镇→杭州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在客栈品尝当地特色水乡面，后车赴桐乡（车程约1小时），游览【5A级乌镇东栅景区】（游览时间不少于2H）以其原汁原味的水乡风貌和深厚的文化底蕴，一跃成为中国著名的古镇旅游胜地。景区由东栅老街、观前街、河边水阁、廊棚组成，游览包括翰林第、古戏台、蓝印花布染坊、乌镇民俗风情馆、江南百床馆等二十多个景点。★赴杭州（车程约1.5小时），★中餐品尝当地特色杭州御茶宴。参考菜单：农家本鸡煲，茶叶飘香虾，杭州酱鸭，葱油扁鱼，农家小炒肉，龙井茶炒鸡蛋，咸肉冬瓜，干锅包菜，芹菜干丝，蒜泥青菜。（参考菜单随季节调换，还请见谅）★游览【5A西湖风景区】（游览时间不少于1.5H）"上有天堂，下有苏杭"，杭州因美丽的西湖而闻名于世。西湖风景区的美景不仅春天独有，夏日里接天莲碧的荷花，秋夜中浸透月光的三潭，冬雪后疏影横斜的红梅，更有那烟柳笼纱中的莺啼，细雨迷蒙中的楼台------无论你在何时来，都会领略到不同寻常的风采（不含西湖游船55元/人自理）温馨提醒:涉及黄金周，节假日，周末，西湖风景区大巴车禁止进入，客人需要换乘景区公交车，单趟2元/人，往返4元/人，包车20/人，最大限乘50个人，如遇此情况费用自理，敬请谅解。★游【5A宋城景区&amp;宋城千古情】（游览时间不少于4H，含表演约1H）市井街从宋皇宫开始的整条市井街是最能感受到宋代市井生活气息的地方，从王员外家一路开始的打铁铺、客家糍粑、榨油坊、胭脂巷等这些传统特色的临街店铺，让过去的市井生活场景骤然还原在你眼前。街上极有存在感的衙门，让穿越的感觉也变得更加确切。观看【宋城千古情表演】“给我一天，还你千年”大型歌舞表演，是杭州宋城的灵魂，用最先进声、光、电的科技手段和舞台机械、以出其不意的呈现方式演艺了良渚古人的艰辛，宋皇宫的辉煌，岳家军的惨烈，梁祝和白蛇许仙的千古绝唱，极具视觉体验和心灵震撼，被誉为“世界三大名秀”之一。温馨提示：宋城表演为普通座宾席不指定位置区域景区随机出票，一经出票无法退换。后入住酒店休息。宿：杭州指定四星未挂牌酒店或携程三钻酒店温馨提示：杭州亚运会期间酒店若遇政府征用或管制，酒店可能会调整到杭州周边其它城市入住，敬请理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2023/09/24</w:t>
            </w:r>
          </w:p>
        </w:tc>
        <w:tc>
          <w:tcPr>
            <w:tcW w:w="2310" w:type="dxa"/>
            <w:gridSpan w:val="7"/>
          </w:tcPr>
          <w:p>
            <w:pPr/>
            <w:r>
              <w:rPr>
                <w:lang w:val="zh-CN"/>
                <w:rFonts w:ascii="Times New Roman" w:hAnsi="Times New Roman" w:cs="Times New Roman"/>
                <w:b/>
                <w:color w:val="000000"/>
              </w:rPr>
              <w:t>杭州→上海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上海（车程约3小时）船游上海母亲河-【船游黄浦江】（游览约1H）欣赏上海乃至中国百年近代史缩影，外滩边上各式建筑，观东方明珠、金茂大厦、环球金融中心外景，使人身处两个不同世纪的交融中，感受魅力上海的国际大都市情调。（如因天气或客流量暴增排队堵车无票等不可抗力因素导致不能游览，按旅行社同业底价退费，不接受因此造成的投诉，敬请谅解）★游览被誉为“万国博物馆”的【上海外滩+南京路】（游览时间不少于1H）观黄浦公园、上海人民英雄纪念塔、黄浦江、陈毅塑像等；★游览上海之最【登上海东方明珠电视塔中球】（游览时间不少于1H）乘电梯上东方明珠二球，360度俯瞰都市上海美景，两边的两座大桥，如两条巨龙，腾飞于黄浦江上，与中间的东方明珠一起，巧妙的组合成一幅二龙戏珠的巨幅画面。赠送游览【上海城市历史发展陈列馆】位于东方明珠广播电视塔内，是反映上海近代历史变迁的形象陈列。整个陈列馆由“华亭溯源”、“城厢风貌”、“开埠掠影”、“十里洋场”、“海上追踪”、“建筑博览”、“车马春秋”七个部分构成。陈列馆采用“融物于景”的场景化展示手法，辅以高科技的技术手段，将文物、道具和模型融于一体，是集历史、文化、鉴赏于一体，具有创新理念的陈列。参观陈列馆，是在穿越历史，是在走过一个时代，让观众迫寻海上旧梦、景仰现代史实，品味上海悠久的文化。（赠送项目不去费用不退）宿：上海升级一晚五星（未挂牌）酒店参考：上海维也纳酒店或其他携程四钻同级酒店（旺季或调换到别的城市升级）</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早餐：含；午餐：含；晚餐：含；住宿：上海</w:t>
            </w:r>
          </w:p>
        </w:tc>
      </w:tr>
      <w:tr>
        <w:tc>
          <w:tcPr>
            <w:tcW w:w="2310" w:type="dxa"/>
            <w:vAlign w:val="center"/>
            <w:vMerge w:val="restart"/>
          </w:tcPr>
          <w:p>
            <w:pPr/>
            <w:r>
              <w:rPr>
                <w:lang w:val="zh-CN"/>
                <w:rFonts w:ascii="Times New Roman" w:hAnsi="Times New Roman" w:cs="Times New Roman"/>
                <w:sz w:val="20"/>
                <w:szCs w:val="20"/>
                <w:color w:val="000000"/>
              </w:rPr>
              <w:t>2023/09/25</w:t>
            </w:r>
          </w:p>
        </w:tc>
        <w:tc>
          <w:tcPr>
            <w:tcW w:w="2310" w:type="dxa"/>
            <w:gridSpan w:val="7"/>
          </w:tcPr>
          <w:p>
            <w:pPr/>
            <w:r>
              <w:rPr>
                <w:lang w:val="zh-CN"/>
                <w:rFonts w:ascii="Times New Roman" w:hAnsi="Times New Roman" w:cs="Times New Roman"/>
                <w:b/>
                <w:color w:val="000000"/>
              </w:rPr>
              <w:t>上海→南京(巴士)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南京（车程约4小时）游览金陵建筑奇迹，金陵八景之一的【4A牛首山】（游览时间约2H）牛首山是中国佛教名山，文化底蕴深厚，是佛教牛头禅宗的开教处和发祥地。山周围有感应泉、虎跑泉、白龟池、兜率岩、文殊洞、辟支洞、含虚阁、地涌泉、饮马池等自然景观，及宏觉寺、弘觉寺塔、郑和墓和抗金故垒等人文景观。牛首山风景宜人，每岁届春金陵百姓倾城出游，故有“春牛首”之称。清乾隆年间“牛首烟岚”列入金陵四十八景中。佛顶宫以佛祖顶骨舍利供奉为主题，外部分为大穹顶和小穹顶两个部分，寓意外供养和内供养。大穹顶形如佛祖袈裟覆盖在小穹顶之上，象征着佛祖的无量加持；小穹顶下部为莲花宝座造型，上部为摩尼宝珠造型，上下结合形成“莲花托珍宝”的神圣意象。（不含环保车25元/人建议乘坐）★赠送，闲逛【5A夫子庙·秦淮风光带】（游览时间不少于1H）夫子庙建筑群两侧坐落着两个商品市场，街上商铺云集，商品种类繁多，形成了服装商场、古玩字画、花鸟虫鱼为特色的集贸市场群，显示出文化的商业性价值，具有浓郁的旅游、休闲、购物为一体的商业氛围。宿：南京指定四星未挂牌或携程三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早餐：含；午餐：含；晚餐：含；住宿：南京</w:t>
            </w:r>
          </w:p>
        </w:tc>
      </w:tr>
      <w:tr>
        <w:tc>
          <w:tcPr>
            <w:tcW w:w="2310" w:type="dxa"/>
            <w:vAlign w:val="center"/>
            <w:vMerge w:val="restart"/>
          </w:tcPr>
          <w:p>
            <w:pPr/>
            <w:r>
              <w:rPr>
                <w:lang w:val="zh-CN"/>
                <w:rFonts w:ascii="Times New Roman" w:hAnsi="Times New Roman" w:cs="Times New Roman"/>
                <w:sz w:val="20"/>
                <w:szCs w:val="20"/>
                <w:color w:val="000000"/>
              </w:rPr>
              <w:t>2023/09/26</w:t>
            </w:r>
          </w:p>
        </w:tc>
        <w:tc>
          <w:tcPr>
            <w:tcW w:w="2310" w:type="dxa"/>
            <w:gridSpan w:val="7"/>
          </w:tcPr>
          <w:p>
            <w:pPr/>
            <w:r>
              <w:rPr>
                <w:lang w:val="zh-CN"/>
                <w:rFonts w:ascii="Times New Roman" w:hAnsi="Times New Roman" w:cs="Times New Roman"/>
                <w:b/>
                <w:color w:val="000000"/>
              </w:rPr>
              <w:t>南京→机场→哈尔滨(巴士)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赠送游览瞻仰国父陵园【5A中山陵】（游览时间约1.5H），周一中山陵墓室闭馆，游客可在博爱坊附近自由活动），中山陵地处于南京市东郊紫金山南麓，是中华民国国父、中国民主革命先行者孙中山的陵墓。被誉为“中国近代建筑史上第一陵”。（周一祭堂和墓室关闭进行日常维护，不能正常参观,平时实行预约制，旺季预约人满无法入园，不含环保车自愿选择，如旺季预约不上改为游览南京大报恩寺或雨花台参观，当地导游依据情况而定，旅游旺季不接受因此造成的投诉敬请谅解）根据航班时间送往机场，返回温馨的家（赠送景点不去不退）行程说明：以上行程所列时间为大概参考时间，旅游旺季出现景区堵车、餐厅拥挤排队、高速堵车、天气等特殊情况时，当团导游会根据实际情况适当调整行程游览顺序及时间，请游客理解并予以配合！</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交通】当地空调旅游大巴（保证一人一座，15人以下用17座旅游车不含行李箱）【住宿】全程3晚四星（未挂牌）酒店+1晚水乡周庄外客栈+1晚五星（未挂牌），全程酒店赠送自助早餐不吃不退。房差550元全程根据旅局规定，旨在倡导绿色出行，旅游住宿业将不再主动提供牙刷、梳子、浴擦、剃须刀、指甲锉、鞋擦这些一次性日用品、不便之处敬请谅解！（华东区域多为是经济一线城市，城市规模较大，旅行社团队用房一般在郊区，距离市中心较远，因此造成的不便还请谅解，感谢理解）【用餐】全程5早8正其中一餐升级杭州特色御茶宴（餐标：20元/人.不含酒水饮料。由于团队提前预定，个人原因不吃不退，敬请理解，华东饮食清淡可自备咸菜辣酱辅助）【门票】含景区首道大门票。赠送景点不去费用不退。【儿童】儿童游客只含车位、正座、及儿童正餐，不含酒店早餐；其它产生费用自理！【导游】优秀专业专职导游服务（地接导游）【购物】0购物（餐厅内景区内自设场所不算做旅游购物店安排）【说明】由于个人征信原因无法购买机票，费用全损，将不退任何费用敬请谅解。【备注】如遇天气原因或其他不可抗力因素导致航班延误取消产生的费用客人自理。费用不含：1、自由活动期间交通费和餐费；2、全程入住酒店产生的单房差及加床费用，入住房间以标间为准，如需要其他类型房间，需自行按照酒店标注价格补房间差价；3、航空保险（建议旅游者购买）；4、因交通延误、取消等意外事件或不可抗力原因导致的额外费用；5、12岁以下的儿童报价（含导服、正餐，车位）；（不含景点门票、不占床、不含早餐）6、因旅游者违约、自身过错、自身疾病等自身原因导致的人身财产损失而额外支付的费用失而额外支付的费用；7、不占床位游客不含早餐。8、不含景区环保车敬请自理：牛首山环保车25元/人，周庄环保车20元/人，鼋头渚环保车40元/人，西湖游船55/人自愿乘坐，中山陵环保车20/人自愿乘坐。</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王锐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韩梦瑶</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2023</w:t>
                  </w:r>
                  <w:r w:rsidR="00192D3B">
                    <w:rPr>
                      <w:rFonts w:asciiTheme="minorEastAsia" w:hAnsiTheme="minorEastAsia" w:hint="eastAsia"/>
                    </w:rPr>
                    <w:t xml:space="preserve">年 </w:t>
                  </w:r>
                  <w:r>
                    <w:rPr>
                      <w:rFonts w:asciiTheme="minorEastAsia" w:hAnsiTheme="minorEastAsia"/>
                    </w:rPr>
                    <w:t>9</w:t>
                  </w:r>
                  <w:r w:rsidR="00192D3B">
                    <w:rPr>
                      <w:rFonts w:asciiTheme="minorEastAsia" w:hAnsiTheme="minorEastAsia" w:hint="eastAsia"/>
                    </w:rPr>
                    <w:t xml:space="preserve">月 </w:t>
                  </w:r>
                  <w:r>
                    <w:rPr>
                      <w:rFonts w:asciiTheme="minorEastAsia" w:hAnsiTheme="minorEastAsia" w:hint="eastAsia"/>
                    </w:rPr>
                    <w:t>26</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2023/9/26 2:47:35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