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嘻游旅行团队/散客确认书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飞天国旅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18644081456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浙江嘻游国际旅行社有限公司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韩星竹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XY-WPJN-20230918A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王牌江南9.18</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2023-09-18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2023-09-23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17(17大)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1、金庆宇</w:t>
            </w:r>
          </w:p>
        </w:tc>
        <w:tc>
          <w:tcPr>
            <w:tcW w:w="2310" w:type="dxa"/>
            <w:vAlign w:val="center"/>
            <w:gridSpan w:val="2"/>
          </w:tcPr>
          <w:p>
            <w:pPr/>
            <w:r>
              <w:rPr>
                <w:lang w:val="zh-CN"/>
                <w:rFonts w:ascii="Times New Roman" w:hAnsi="Times New Roman" w:cs="Times New Roman"/>
                <w:sz w:val="20"/>
                <w:szCs w:val="20"/>
                <w:color w:val="000000"/>
              </w:rPr>
              <w:t>230231198904104713</w:t>
            </w:r>
          </w:p>
        </w:tc>
        <w:tc>
          <w:tcPr>
            <w:tcW w:w="2310" w:type="dxa"/>
            <w:vAlign w:val="center"/>
          </w:tcPr>
          <w:p>
            <w:pPr/>
            <w:r>
              <w:rPr>
                <w:lang w:val="zh-CN"/>
                <w:rFonts w:ascii="Times New Roman" w:hAnsi="Times New Roman" w:cs="Times New Roman"/>
                <w:sz w:val="20"/>
                <w:szCs w:val="20"/>
                <w:color w:val="000000"/>
              </w:rPr>
              <w:t>15846581788</w:t>
            </w:r>
          </w:p>
        </w:tc>
        <w:tc>
          <w:tcPr>
            <w:tcW w:w="2310" w:type="dxa"/>
            <w:vAlign w:val="center"/>
          </w:tcPr>
          <w:p>
            <w:pPr/>
            <w:r>
              <w:rPr>
                <w:lang w:val="zh-CN"/>
                <w:rFonts w:ascii="Times New Roman" w:hAnsi="Times New Roman" w:cs="Times New Roman"/>
                <w:sz w:val="20"/>
                <w:szCs w:val="20"/>
                <w:color w:val="000000"/>
              </w:rPr>
              <w:t>2、赵子源</w:t>
            </w:r>
          </w:p>
        </w:tc>
        <w:tc>
          <w:tcPr>
            <w:tcW w:w="2310" w:type="dxa"/>
            <w:vAlign w:val="center"/>
            <w:gridSpan w:val="2"/>
          </w:tcPr>
          <w:p>
            <w:pPr/>
            <w:r>
              <w:rPr>
                <w:lang w:val="zh-CN"/>
                <w:rFonts w:ascii="Times New Roman" w:hAnsi="Times New Roman" w:cs="Times New Roman"/>
                <w:sz w:val="20"/>
                <w:szCs w:val="20"/>
                <w:color w:val="000000"/>
              </w:rPr>
              <w:t>230103199709010619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3、潘雯婧</w:t>
            </w:r>
          </w:p>
        </w:tc>
        <w:tc>
          <w:tcPr>
            <w:tcW w:w="2310" w:type="dxa"/>
            <w:vAlign w:val="center"/>
            <w:gridSpan w:val="2"/>
          </w:tcPr>
          <w:p>
            <w:pPr/>
            <w:r>
              <w:rPr>
                <w:lang w:val="zh-CN"/>
                <w:rFonts w:ascii="Times New Roman" w:hAnsi="Times New Roman" w:cs="Times New Roman"/>
                <w:sz w:val="20"/>
                <w:szCs w:val="20"/>
                <w:color w:val="000000"/>
              </w:rPr>
              <w:t>230103198504303923</w:t>
            </w:r>
          </w:p>
        </w:tc>
        <w:tc>
          <w:tcPr>
            <w:tcW w:w="2310" w:type="dxa"/>
            <w:vAlign w:val="center"/>
          </w:tcPr>
          <w:p>
            <w:pPr/>
            <w:r>
              <w:rPr>
                <w:lang w:val="zh-CN"/>
                <w:rFonts w:ascii="Times New Roman" w:hAnsi="Times New Roman" w:cs="Times New Roman"/>
                <w:sz w:val="20"/>
                <w:szCs w:val="20"/>
                <w:color w:val="000000"/>
              </w:rPr>
              <w:t>19990733709</w:t>
            </w:r>
          </w:p>
        </w:tc>
        <w:tc>
          <w:tcPr>
            <w:tcW w:w="2310" w:type="dxa"/>
            <w:vAlign w:val="center"/>
          </w:tcPr>
          <w:p>
            <w:pPr/>
            <w:r>
              <w:rPr>
                <w:lang w:val="zh-CN"/>
                <w:rFonts w:ascii="Times New Roman" w:hAnsi="Times New Roman" w:cs="Times New Roman"/>
                <w:sz w:val="20"/>
                <w:szCs w:val="20"/>
                <w:color w:val="000000"/>
              </w:rPr>
              <w:t>4、郑晓玉</w:t>
            </w:r>
          </w:p>
        </w:tc>
        <w:tc>
          <w:tcPr>
            <w:tcW w:w="2310" w:type="dxa"/>
            <w:vAlign w:val="center"/>
            <w:gridSpan w:val="2"/>
          </w:tcPr>
          <w:p>
            <w:pPr/>
            <w:r>
              <w:rPr>
                <w:lang w:val="zh-CN"/>
                <w:rFonts w:ascii="Times New Roman" w:hAnsi="Times New Roman" w:cs="Times New Roman"/>
                <w:sz w:val="20"/>
                <w:szCs w:val="20"/>
                <w:color w:val="000000"/>
              </w:rPr>
              <w:t>230121196001280620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5、马国荣</w:t>
            </w:r>
          </w:p>
        </w:tc>
        <w:tc>
          <w:tcPr>
            <w:tcW w:w="2310" w:type="dxa"/>
            <w:vAlign w:val="center"/>
            <w:gridSpan w:val="2"/>
          </w:tcPr>
          <w:p>
            <w:pPr/>
            <w:r>
              <w:rPr>
                <w:lang w:val="zh-CN"/>
                <w:rFonts w:ascii="Times New Roman" w:hAnsi="Times New Roman" w:cs="Times New Roman"/>
                <w:sz w:val="20"/>
                <w:szCs w:val="20"/>
                <w:color w:val="000000"/>
              </w:rPr>
              <w:t>230121196003050220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6、裘思忠</w:t>
            </w:r>
          </w:p>
        </w:tc>
        <w:tc>
          <w:tcPr>
            <w:tcW w:w="2310" w:type="dxa"/>
            <w:vAlign w:val="center"/>
            <w:gridSpan w:val="2"/>
          </w:tcPr>
          <w:p>
            <w:pPr/>
            <w:r>
              <w:rPr>
                <w:lang w:val="zh-CN"/>
                <w:rFonts w:ascii="Times New Roman" w:hAnsi="Times New Roman" w:cs="Times New Roman"/>
                <w:sz w:val="20"/>
                <w:szCs w:val="20"/>
                <w:color w:val="000000"/>
              </w:rPr>
              <w:t>232326195503246852</w:t>
            </w:r>
          </w:p>
        </w:tc>
        <w:tc>
          <w:tcPr>
            <w:tcW w:w="2310" w:type="dxa"/>
            <w:vAlign w:val="center"/>
          </w:tcPr>
          <w:p>
            <w:pPr/>
            <w:r>
              <w:rPr>
                <w:lang w:val="zh-CN"/>
                <w:rFonts w:ascii="Times New Roman" w:hAnsi="Times New Roman" w:cs="Times New Roman"/>
                <w:sz w:val="20"/>
                <w:szCs w:val="20"/>
                <w:color w:val="000000"/>
              </w:rPr>
              <w:t>13144558136</w:t>
            </w:r>
          </w:p>
        </w:tc>
      </w:tr>
      <w:tr>
        <w:tc>
          <w:tcPr>
            <w:tcW w:w="2310" w:type="dxa"/>
            <w:vAlign w:val="center"/>
          </w:tcPr>
          <w:p>
            <w:pPr/>
            <w:r>
              <w:rPr>
                <w:lang w:val="zh-CN"/>
                <w:rFonts w:ascii="Times New Roman" w:hAnsi="Times New Roman" w:cs="Times New Roman"/>
                <w:sz w:val="20"/>
                <w:szCs w:val="20"/>
                <w:color w:val="000000"/>
              </w:rPr>
              <w:t>7、裘丽敏</w:t>
            </w:r>
          </w:p>
        </w:tc>
        <w:tc>
          <w:tcPr>
            <w:tcW w:w="2310" w:type="dxa"/>
            <w:vAlign w:val="center"/>
            <w:gridSpan w:val="2"/>
          </w:tcPr>
          <w:p>
            <w:pPr/>
            <w:r>
              <w:rPr>
                <w:lang w:val="zh-CN"/>
                <w:rFonts w:ascii="Times New Roman" w:hAnsi="Times New Roman" w:cs="Times New Roman"/>
                <w:sz w:val="20"/>
                <w:szCs w:val="20"/>
                <w:color w:val="000000"/>
              </w:rPr>
              <w:t>232326197612030021</w:t>
            </w:r>
          </w:p>
        </w:tc>
        <w:tc>
          <w:tcPr>
            <w:tcW w:w="2310" w:type="dxa"/>
            <w:vAlign w:val="center"/>
          </w:tcPr>
          <w:p>
            <w:pPr/>
            <w:r>
              <w:rPr>
                <w:lang w:val="zh-CN"/>
                <w:rFonts w:ascii="Times New Roman" w:hAnsi="Times New Roman" w:cs="Times New Roman"/>
                <w:sz w:val="20"/>
                <w:szCs w:val="20"/>
                <w:color w:val="000000"/>
              </w:rPr>
              <w:t>15145530606</w:t>
            </w:r>
          </w:p>
        </w:tc>
        <w:tc>
          <w:tcPr>
            <w:tcW w:w="2310" w:type="dxa"/>
            <w:vAlign w:val="center"/>
          </w:tcPr>
          <w:p>
            <w:pPr/>
            <w:r>
              <w:rPr>
                <w:lang w:val="zh-CN"/>
                <w:rFonts w:ascii="Times New Roman" w:hAnsi="Times New Roman" w:cs="Times New Roman"/>
                <w:sz w:val="20"/>
                <w:szCs w:val="20"/>
                <w:color w:val="000000"/>
              </w:rPr>
              <w:t>8、方秀杰</w:t>
            </w:r>
          </w:p>
        </w:tc>
        <w:tc>
          <w:tcPr>
            <w:tcW w:w="2310" w:type="dxa"/>
            <w:vAlign w:val="center"/>
            <w:gridSpan w:val="2"/>
          </w:tcPr>
          <w:p>
            <w:pPr/>
            <w:r>
              <w:rPr>
                <w:lang w:val="zh-CN"/>
                <w:rFonts w:ascii="Times New Roman" w:hAnsi="Times New Roman" w:cs="Times New Roman"/>
                <w:sz w:val="20"/>
                <w:szCs w:val="20"/>
                <w:color w:val="000000"/>
              </w:rPr>
              <w:t>232103195604205624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9、郑艳燕</w:t>
            </w:r>
          </w:p>
        </w:tc>
        <w:tc>
          <w:tcPr>
            <w:tcW w:w="2310" w:type="dxa"/>
            <w:vAlign w:val="center"/>
            <w:gridSpan w:val="2"/>
          </w:tcPr>
          <w:p>
            <w:pPr/>
            <w:r>
              <w:rPr>
                <w:lang w:val="zh-CN"/>
                <w:rFonts w:ascii="Times New Roman" w:hAnsi="Times New Roman" w:cs="Times New Roman"/>
                <w:sz w:val="20"/>
                <w:szCs w:val="20"/>
                <w:color w:val="000000"/>
              </w:rPr>
              <w:t>232103198007155626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10、史丽娟</w:t>
            </w:r>
          </w:p>
        </w:tc>
        <w:tc>
          <w:tcPr>
            <w:tcW w:w="2310" w:type="dxa"/>
            <w:vAlign w:val="center"/>
            <w:gridSpan w:val="2"/>
          </w:tcPr>
          <w:p>
            <w:pPr/>
            <w:r>
              <w:rPr>
                <w:lang w:val="zh-CN"/>
                <w:rFonts w:ascii="Times New Roman" w:hAnsi="Times New Roman" w:cs="Times New Roman"/>
                <w:sz w:val="20"/>
                <w:szCs w:val="20"/>
                <w:color w:val="000000"/>
              </w:rPr>
              <w:t>230202196411041223</w:t>
            </w:r>
          </w:p>
        </w:tc>
        <w:tc>
          <w:tcPr>
            <w:tcW w:w="2310" w:type="dxa"/>
            <w:vAlign w:val="center"/>
          </w:tcPr>
          <w:p>
            <w:pPr/>
            <w:r>
              <w:rPr>
                <w:lang w:val="zh-CN"/>
                <w:rFonts w:ascii="Times New Roman" w:hAnsi="Times New Roman" w:cs="Times New Roman"/>
                <w:sz w:val="20"/>
                <w:szCs w:val="20"/>
                <w:color w:val="000000"/>
              </w:rPr>
              <w:t>13846245386</w:t>
            </w:r>
          </w:p>
        </w:tc>
      </w:tr>
      <w:tr>
        <w:tc>
          <w:tcPr>
            <w:tcW w:w="2310" w:type="dxa"/>
            <w:vAlign w:val="center"/>
          </w:tcPr>
          <w:p>
            <w:pPr/>
            <w:r>
              <w:rPr>
                <w:lang w:val="zh-CN"/>
                <w:rFonts w:ascii="Times New Roman" w:hAnsi="Times New Roman" w:cs="Times New Roman"/>
                <w:sz w:val="20"/>
                <w:szCs w:val="20"/>
                <w:color w:val="000000"/>
              </w:rPr>
              <w:t>11、李宝田</w:t>
            </w:r>
          </w:p>
        </w:tc>
        <w:tc>
          <w:tcPr>
            <w:tcW w:w="2310" w:type="dxa"/>
            <w:vAlign w:val="center"/>
            <w:gridSpan w:val="2"/>
          </w:tcPr>
          <w:p>
            <w:pPr/>
            <w:r>
              <w:rPr>
                <w:lang w:val="zh-CN"/>
                <w:rFonts w:ascii="Times New Roman" w:hAnsi="Times New Roman" w:cs="Times New Roman"/>
                <w:sz w:val="20"/>
                <w:szCs w:val="20"/>
                <w:color w:val="000000"/>
              </w:rPr>
              <w:t>230202196206012415</w:t>
            </w:r>
          </w:p>
        </w:tc>
        <w:tc>
          <w:tcPr>
            <w:tcW w:w="2310" w:type="dxa"/>
            <w:vAlign w:val="center"/>
          </w:tcPr>
          <w:p>
            <w:pPr/>
            <w:r>
              <w:rPr>
                <w:lang w:val="zh-CN"/>
                <w:rFonts w:ascii="Times New Roman" w:hAnsi="Times New Roman" w:cs="Times New Roman"/>
                <w:sz w:val="20"/>
                <w:szCs w:val="20"/>
                <w:color w:val="000000"/>
              </w:rPr>
              <w:t>13199687979</w:t>
            </w:r>
          </w:p>
        </w:tc>
        <w:tc>
          <w:tcPr>
            <w:tcW w:w="2310" w:type="dxa"/>
            <w:vAlign w:val="center"/>
          </w:tcPr>
          <w:p>
            <w:pPr/>
            <w:r>
              <w:rPr>
                <w:lang w:val="zh-CN"/>
                <w:rFonts w:ascii="Times New Roman" w:hAnsi="Times New Roman" w:cs="Times New Roman"/>
                <w:sz w:val="20"/>
                <w:szCs w:val="20"/>
                <w:color w:val="000000"/>
              </w:rPr>
              <w:t>12、王健</w:t>
            </w:r>
          </w:p>
        </w:tc>
        <w:tc>
          <w:tcPr>
            <w:tcW w:w="2310" w:type="dxa"/>
            <w:vAlign w:val="center"/>
            <w:gridSpan w:val="2"/>
          </w:tcPr>
          <w:p>
            <w:pPr/>
            <w:r>
              <w:rPr>
                <w:lang w:val="zh-CN"/>
                <w:rFonts w:ascii="Times New Roman" w:hAnsi="Times New Roman" w:cs="Times New Roman"/>
                <w:sz w:val="20"/>
                <w:szCs w:val="20"/>
                <w:color w:val="000000"/>
              </w:rPr>
              <w:t>230203196804221424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13、孙坤</w:t>
            </w:r>
          </w:p>
        </w:tc>
        <w:tc>
          <w:tcPr>
            <w:tcW w:w="2310" w:type="dxa"/>
            <w:vAlign w:val="center"/>
            <w:gridSpan w:val="2"/>
          </w:tcPr>
          <w:p>
            <w:pPr/>
            <w:r>
              <w:rPr>
                <w:lang w:val="zh-CN"/>
                <w:rFonts w:ascii="Times New Roman" w:hAnsi="Times New Roman" w:cs="Times New Roman"/>
                <w:sz w:val="20"/>
                <w:szCs w:val="20"/>
                <w:color w:val="000000"/>
              </w:rPr>
              <w:t>230203196807290660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14、林雅杰</w:t>
            </w:r>
          </w:p>
        </w:tc>
        <w:tc>
          <w:tcPr>
            <w:tcW w:w="2310" w:type="dxa"/>
            <w:vAlign w:val="center"/>
            <w:gridSpan w:val="2"/>
          </w:tcPr>
          <w:p>
            <w:pPr/>
            <w:r>
              <w:rPr>
                <w:lang w:val="zh-CN"/>
                <w:rFonts w:ascii="Times New Roman" w:hAnsi="Times New Roman" w:cs="Times New Roman"/>
                <w:sz w:val="20"/>
                <w:szCs w:val="20"/>
                <w:color w:val="000000"/>
              </w:rPr>
              <w:t>230202196711150229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15、王芳</w:t>
            </w:r>
          </w:p>
        </w:tc>
        <w:tc>
          <w:tcPr>
            <w:tcW w:w="2310" w:type="dxa"/>
            <w:vAlign w:val="center"/>
            <w:gridSpan w:val="2"/>
          </w:tcPr>
          <w:p>
            <w:pPr/>
            <w:r>
              <w:rPr>
                <w:lang w:val="zh-CN"/>
                <w:rFonts w:ascii="Times New Roman" w:hAnsi="Times New Roman" w:cs="Times New Roman"/>
                <w:sz w:val="20"/>
                <w:szCs w:val="20"/>
                <w:color w:val="000000"/>
              </w:rPr>
              <w:t>230203196711121264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16、侯钧</w:t>
            </w:r>
          </w:p>
        </w:tc>
        <w:tc>
          <w:tcPr>
            <w:tcW w:w="2310" w:type="dxa"/>
            <w:vAlign w:val="center"/>
            <w:gridSpan w:val="2"/>
          </w:tcPr>
          <w:p>
            <w:pPr/>
            <w:r>
              <w:rPr>
                <w:lang w:val="zh-CN"/>
                <w:rFonts w:ascii="Times New Roman" w:hAnsi="Times New Roman" w:cs="Times New Roman"/>
                <w:sz w:val="20"/>
                <w:szCs w:val="20"/>
                <w:color w:val="000000"/>
              </w:rPr>
              <w:t>230203196805040422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17、彭雅娣</w:t>
            </w:r>
          </w:p>
        </w:tc>
        <w:tc>
          <w:tcPr>
            <w:tcW w:w="2310" w:type="dxa"/>
            <w:vAlign w:val="center"/>
            <w:gridSpan w:val="2"/>
          </w:tcPr>
          <w:p>
            <w:pPr/>
            <w:r>
              <w:rPr>
                <w:lang w:val="zh-CN"/>
                <w:rFonts w:ascii="Times New Roman" w:hAnsi="Times New Roman" w:cs="Times New Roman"/>
                <w:sz w:val="20"/>
                <w:szCs w:val="20"/>
                <w:color w:val="000000"/>
              </w:rPr>
              <w:t>230203196811200381</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17</w:t>
            </w:r>
          </w:p>
        </w:tc>
        <w:tc>
          <w:tcPr>
            <w:tcW w:w="2310" w:type="dxa"/>
          </w:tcPr>
          <w:p>
            <w:pPr/>
            <w:r>
              <w:rPr>
                <w:lang w:val="zh-CN"/>
                <w:rFonts w:ascii="Times New Roman" w:hAnsi="Times New Roman" w:cs="Times New Roman"/>
                <w:sz w:val="20"/>
                <w:szCs w:val="20"/>
                <w:color w:val="000000"/>
              </w:rPr>
              <w:t>1500.00</w:t>
            </w:r>
          </w:p>
        </w:tc>
        <w:tc>
          <w:tcPr>
            <w:tcW w:w="2310" w:type="dxa"/>
          </w:tcPr>
          <w:p>
            <w:pPr/>
            <w:r>
              <w:rPr>
                <w:lang w:val="zh-CN"/>
                <w:rFonts w:ascii="Times New Roman" w:hAnsi="Times New Roman" w:cs="Times New Roman"/>
                <w:sz w:val="20"/>
                <w:szCs w:val="20"/>
                <w:color w:val="000000"/>
              </w:rPr>
              <w:t>25500.00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总金额：贰万伍仟伍佰元整</w:t>
            </w:r>
          </w:p>
        </w:tc>
        <w:tc>
          <w:tcPr>
            <w:tcW w:w="2310" w:type="dxa"/>
            <w:textDirection w:val="right"/>
            <w:gridSpan w:val="3"/>
          </w:tcPr>
          <w:p>
            <w:pPr/>
            <w:r>
              <w:rPr>
                <w:lang w:val="zh-CN"/>
                <w:rFonts w:ascii="Times New Roman" w:hAnsi="Times New Roman" w:cs="Times New Roman"/>
                <w:b/>
                <w:color w:val="FF0000"/>
              </w:rPr>
              <w:t>25500.00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招商银行杭州分行</w:t>
            </w:r>
          </w:p>
        </w:tc>
        <w:tc>
          <w:tcPr>
            <w:tcW w:w="2310" w:type="dxa"/>
            <w:gridSpan w:val="2"/>
          </w:tcPr>
          <w:p>
            <w:pPr/>
            <w:r>
              <w:rPr>
                <w:lang w:val="zh-CN"/>
                <w:rFonts w:ascii="Times New Roman" w:hAnsi="Times New Roman" w:cs="Times New Roman"/>
                <w:sz w:val="20"/>
                <w:szCs w:val="20"/>
                <w:color w:val="000000"/>
              </w:rPr>
              <w:t>王扬</w:t>
            </w:r>
          </w:p>
        </w:tc>
        <w:tc>
          <w:tcPr>
            <w:tcW w:w="2310" w:type="dxa"/>
            <w:gridSpan w:val="3"/>
          </w:tcPr>
          <w:p>
            <w:pPr/>
            <w:r>
              <w:rPr>
                <w:lang w:val="zh-CN"/>
                <w:rFonts w:ascii="Times New Roman" w:hAnsi="Times New Roman" w:cs="Times New Roman"/>
                <w:sz w:val="20"/>
                <w:szCs w:val="20"/>
                <w:color w:val="000000"/>
              </w:rPr>
              <w:t>000</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2023/09/18</w:t>
            </w:r>
          </w:p>
        </w:tc>
        <w:tc>
          <w:tcPr>
            <w:tcW w:w="2310" w:type="dxa"/>
            <w:gridSpan w:val="7"/>
          </w:tcPr>
          <w:p>
            <w:pPr/>
            <w:r>
              <w:rPr>
                <w:lang w:val="zh-CN"/>
                <w:rFonts w:ascii="Times New Roman" w:hAnsi="Times New Roman" w:cs="Times New Roman"/>
                <w:b/>
                <w:color w:val="000000"/>
              </w:rPr>
              <w:t>哈尔滨----南京(巴士)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各位贵宾于指定的时间哈尔滨机场二楼问讯处集合。前往南京，接团后入住酒店休息。住：南京指定四星未挂牌或携程三钻酒店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早餐：不含；午餐：不含；晚餐：不含；住宿：南京</w:t>
            </w:r>
          </w:p>
        </w:tc>
      </w:tr>
      <w:tr>
        <w:tc>
          <w:tcPr>
            <w:tcW w:w="2310" w:type="dxa"/>
            <w:vAlign w:val="center"/>
            <w:vMerge w:val="restart"/>
          </w:tcPr>
          <w:p>
            <w:pPr/>
            <w:r>
              <w:rPr>
                <w:lang w:val="zh-CN"/>
                <w:rFonts w:ascii="Times New Roman" w:hAnsi="Times New Roman" w:cs="Times New Roman"/>
                <w:sz w:val="20"/>
                <w:szCs w:val="20"/>
                <w:color w:val="000000"/>
              </w:rPr>
              <w:t>2023/09/19</w:t>
            </w:r>
          </w:p>
        </w:tc>
        <w:tc>
          <w:tcPr>
            <w:tcW w:w="2310" w:type="dxa"/>
            <w:gridSpan w:val="7"/>
          </w:tcPr>
          <w:p>
            <w:pPr/>
            <w:r>
              <w:rPr>
                <w:lang w:val="zh-CN"/>
                <w:rFonts w:ascii="Times New Roman" w:hAnsi="Times New Roman" w:cs="Times New Roman"/>
                <w:b/>
                <w:color w:val="000000"/>
              </w:rPr>
              <w:t>南京→无锡→周庄(巴士)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无锡（车程约2H），“太湖佳绝处、毕竟在鼋头”【5A鼋头渚+赠送船游太湖】（游览时间不少于1.5H）游览太湖最佳赏景处：具区胜景、鼋渚春涛、万浪卷雪、鹿顶迎辉、充山隐秀等景区。（太湖游船为景区门票赠送项目，如因天气或景区原因不能乘坐不退费用哦，鼋头渚内旅游大巴车禁止通行，需换景区内环保车40元/人敬请自理）★下午车赴苏州（车程约1.5H）游览苏州私家园林的典范【耦园】（游览时间不少于1.5H）取陶渊明《归辞》中的“园日涉以成趣”之意，黄石假山是耦园的特色。此园因在住宅东西两侧各有一园，故名耦园。耦园三面临河，一面通街，前后设有河埠。粉墙黛瓦，映衬着小桥流水，颇有江南水乡风韵。★车赴周庄（车程约1H）【周庄+四季周庄表演】（游览时间不少于2H）周庄素有“中国第一水乡”美称，是中国江南一个具有九百多年历史的水乡古镇，若要在中国选一个最具代表性的水乡古镇，毫无疑问，她就是“中国第一水乡”周庄。千年历史沧桑和浓郁吴地文化孕育的周庄，以其灵秀的水乡风貌，独特的人文景观，质朴的民俗风情，成为东方文化的瑰宝。游沈厅了解江南巨富沈万三的传奇故事，览张厅体验桥从门前进，明代官宅特色和介绍，观旅美画家陈逸飞的油画《故乡的回忆》中而闻名的-双桥等景区。【温馨提示】：由于周庄受古迹保护，周庄大桥禁止大巴车通过，需要换乘景区电瓶车驶入，电瓶车20元/人敬请自理！后入住酒店休息。住：周庄外精品特色客栈，参考酒店：三月里客栈。十三月客栈。灯火万家。朝夕客栈。稻花香舍，聚满楼。秋月阁，意诚客栈或同级（水乡外特色客栈住宿，条件略比城市低还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早餐：含；午餐：含；晚餐：含；住宿：周庄外</w:t>
            </w:r>
          </w:p>
        </w:tc>
      </w:tr>
      <w:tr>
        <w:tc>
          <w:tcPr>
            <w:tcW w:w="2310" w:type="dxa"/>
            <w:vAlign w:val="center"/>
            <w:vMerge w:val="restart"/>
          </w:tcPr>
          <w:p>
            <w:pPr/>
            <w:r>
              <w:rPr>
                <w:lang w:val="zh-CN"/>
                <w:rFonts w:ascii="Times New Roman" w:hAnsi="Times New Roman" w:cs="Times New Roman"/>
                <w:sz w:val="20"/>
                <w:szCs w:val="20"/>
                <w:color w:val="000000"/>
              </w:rPr>
              <w:t>2023/09/20</w:t>
            </w:r>
          </w:p>
        </w:tc>
        <w:tc>
          <w:tcPr>
            <w:tcW w:w="2310" w:type="dxa"/>
            <w:gridSpan w:val="7"/>
          </w:tcPr>
          <w:p>
            <w:pPr/>
            <w:r>
              <w:rPr>
                <w:lang w:val="zh-CN"/>
                <w:rFonts w:ascii="Times New Roman" w:hAnsi="Times New Roman" w:cs="Times New Roman"/>
                <w:b/>
                <w:color w:val="000000"/>
              </w:rPr>
              <w:t>周庄→乌镇→杭州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在客栈品尝当地特色水乡面，后车赴桐乡（车程约1小时），游览【5A级乌镇东栅景区】（游览时间不少于2H）以其原汁原味的水乡风貌和深厚的文化底蕴，一跃成为中国著名的古镇旅游胜地。景区由东栅老街、观前街、河边水阁、廊棚组成，游览包括翰林第、古戏台、蓝印花布染坊、乌镇民俗风情馆、江南百床馆等二十多个景点。★赴杭州（车程约1.5小时），★中餐品尝当地特色杭州御茶宴。参考菜单：农家本鸡煲，茶叶飘香虾，杭州酱鸭，葱油扁鱼，农家小炒肉，龙井茶炒鸡蛋，咸肉冬瓜，干锅包菜，芹菜干丝，蒜泥青菜。（参考菜单随季节调换，还请见谅）★游览【5A西湖风景区】（游览时间不少于1.5H）"上有天堂，下有苏杭"，杭州因美丽的西湖而闻名于世。西湖风景区的美景不仅春天独有，夏日里接天莲碧的荷花，秋夜中浸透月光的三潭，冬雪后疏影横斜的红梅，更有那烟柳笼纱中的莺啼，细雨迷蒙中的楼台------无论你在何时来，都会领略到不同寻常的风采（不含西湖游船55元/人自理）温馨提醒:涉及黄金周，节假日，周末，西湖风景区大巴车禁止进入，客人需要换乘景区公交车，单趟2元/人，往返4元/人，包车20/人，最大限乘50个人，如遇此情况费用自理，敬请谅解。★游【5A宋城景区&amp;宋城千古情】（游览时间不少于4H，含表演约1H）市井街从宋皇宫开始的整条市井街是最能感受到宋代市井生活气息的地方，从王员外家一路开始的打铁铺、客家糍粑、榨油坊、胭脂巷等这些传统特色的临街店铺，让过去的市井生活场景骤然还原在你眼前。街上极有存在感的衙门，让穿越的感觉也变得更加确切。观看【宋城千古情表演】“给我一天，还你千年”大型歌舞表演，是杭州宋城的灵魂，用最先进声、光、电的科技手段和舞台机械、以出其不意的呈现方式演艺了良渚古人的艰辛，宋皇宫的辉煌，岳家军的惨烈，梁祝和白蛇许仙的千古绝唱，极具视觉体验和心灵震撼，被誉为“世界三大名秀”之一。温馨提示：宋城表演为普通座宾席不指定位置区域景区随机出票，一经出票无法退换。后入住酒店休息。宿：杭州指定四星未挂牌酒店或携程三钻酒店温馨提示：杭州亚运会期间酒店若遇政府征用或管制，酒店可能会调整到杭州周边其它城市入住，敬请理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2023/09/21</w:t>
            </w:r>
          </w:p>
        </w:tc>
        <w:tc>
          <w:tcPr>
            <w:tcW w:w="2310" w:type="dxa"/>
            <w:gridSpan w:val="7"/>
          </w:tcPr>
          <w:p>
            <w:pPr/>
            <w:r>
              <w:rPr>
                <w:lang w:val="zh-CN"/>
                <w:rFonts w:ascii="Times New Roman" w:hAnsi="Times New Roman" w:cs="Times New Roman"/>
                <w:b/>
                <w:color w:val="000000"/>
              </w:rPr>
              <w:t>杭州→上海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上海（车程约3小时）船游上海母亲河-【船游黄浦江】（游览约1H）欣赏上海乃至中国百年近代史缩影，外滩边上各式建筑，观东方明珠、金茂大厦、环球金融中心外景，使人身处两个不同世纪的交融中，感受魅力上海的国际大都市情调。（如因天气或客流量暴增排队堵车无票等不可抗力因素导致不能游览，按旅行社同业底价退费，不接受因此造成的投诉，敬请谅解）★游览被誉为“万国博物馆”的【上海外滩+南京路】（游览时间不少于1H）观黄浦公园、上海人民英雄纪念塔、黄浦江、陈毅塑像等；★游览上海之最【登上海东方明珠电视塔中球】（游览时间不少于1H）乘电梯上东方明珠二球，360度俯瞰都市上海美景，两边的两座大桥，如两条巨龙，腾飞于黄浦江上，与中间的东方明珠一起，巧妙的组合成一幅二龙戏珠的巨幅画面。赠送游览【上海城市历史发展陈列馆】位于东方明珠广播电视塔内，是反映上海近代历史变迁的形象陈列。整个陈列馆由“华亭溯源”、“城厢风貌”、“开埠掠影”、“十里洋场”、“海上追踪”、“建筑博览”、“车马春秋”七个部分构成。陈列馆采用“融物于景”的场景化展示手法，辅以高科技的技术手段，将文物、道具和模型融于一体，是集历史、文化、鉴赏于一体，具有创新理念的陈列。参观陈列馆，是在穿越历史，是在走过一个时代，让观众迫寻海上旧梦、景仰现代史实，品味上海悠久的文化。（赠送项目不去费用不退）宿：上海升级一晚五星（未挂牌）酒店参考：上海维也纳酒店或其他携程四钻同级酒店（旺季或调换到别的城市升级）</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早餐：含；午餐：含；晚餐：含；住宿：上海</w:t>
            </w:r>
          </w:p>
        </w:tc>
      </w:tr>
      <w:tr>
        <w:tc>
          <w:tcPr>
            <w:tcW w:w="2310" w:type="dxa"/>
            <w:vAlign w:val="center"/>
            <w:vMerge w:val="restart"/>
          </w:tcPr>
          <w:p>
            <w:pPr/>
            <w:r>
              <w:rPr>
                <w:lang w:val="zh-CN"/>
                <w:rFonts w:ascii="Times New Roman" w:hAnsi="Times New Roman" w:cs="Times New Roman"/>
                <w:sz w:val="20"/>
                <w:szCs w:val="20"/>
                <w:color w:val="000000"/>
              </w:rPr>
              <w:t>2023/09/22</w:t>
            </w:r>
          </w:p>
        </w:tc>
        <w:tc>
          <w:tcPr>
            <w:tcW w:w="2310" w:type="dxa"/>
            <w:gridSpan w:val="7"/>
          </w:tcPr>
          <w:p>
            <w:pPr/>
            <w:r>
              <w:rPr>
                <w:lang w:val="zh-CN"/>
                <w:rFonts w:ascii="Times New Roman" w:hAnsi="Times New Roman" w:cs="Times New Roman"/>
                <w:b/>
                <w:color w:val="000000"/>
              </w:rPr>
              <w:t>上海→南京(巴士)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南京（车程约4小时）游览金陵建筑奇迹，金陵八景之一的【4A牛首山】（游览时间约2H）牛首山是中国佛教名山，文化底蕴深厚，是佛教牛头禅宗的开教处和发祥地。山周围有感应泉、虎跑泉、白龟池、兜率岩、文殊洞、辟支洞、含虚阁、地涌泉、饮马池等自然景观，及宏觉寺、弘觉寺塔、郑和墓和抗金故垒等人文景观。牛首山风景宜人，每岁届春金陵百姓倾城出游，故有“春牛首”之称。清乾隆年间“牛首烟岚”列入金陵四十八景中。佛顶宫以佛祖顶骨舍利供奉为主题，外部分为大穹顶和小穹顶两个部分，寓意外供养和内供养。大穹顶形如佛祖袈裟覆盖在小穹顶之上，象征着佛祖的无量加持；小穹顶下部为莲花宝座造型，上部为摩尼宝珠造型，上下结合形成“莲花托珍宝”的神圣意象。（不含环保车25元/人建议乘坐）★赠送，闲逛【5A夫子庙·秦淮风光带】（游览时间不少于1H）夫子庙建筑群两侧坐落着两个商品市场，街上商铺云集，商品种类繁多，形成了服装商场、古玩字画、花鸟虫鱼为特色的集贸市场群，显示出文化的商业性价值，具有浓郁的旅游、休闲、购物为一体的商业氛围。宿：南京指定四星未挂牌或携程三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早餐：含；午餐：含；晚餐：含；住宿：南京</w:t>
            </w:r>
          </w:p>
        </w:tc>
      </w:tr>
      <w:tr>
        <w:tc>
          <w:tcPr>
            <w:tcW w:w="2310" w:type="dxa"/>
            <w:vAlign w:val="center"/>
            <w:vMerge w:val="restart"/>
          </w:tcPr>
          <w:p>
            <w:pPr/>
            <w:r>
              <w:rPr>
                <w:lang w:val="zh-CN"/>
                <w:rFonts w:ascii="Times New Roman" w:hAnsi="Times New Roman" w:cs="Times New Roman"/>
                <w:sz w:val="20"/>
                <w:szCs w:val="20"/>
                <w:color w:val="000000"/>
              </w:rPr>
              <w:t>2023/09/23</w:t>
            </w:r>
          </w:p>
        </w:tc>
        <w:tc>
          <w:tcPr>
            <w:tcW w:w="2310" w:type="dxa"/>
            <w:gridSpan w:val="7"/>
          </w:tcPr>
          <w:p>
            <w:pPr/>
            <w:r>
              <w:rPr>
                <w:lang w:val="zh-CN"/>
                <w:rFonts w:ascii="Times New Roman" w:hAnsi="Times New Roman" w:cs="Times New Roman"/>
                <w:b/>
                <w:color w:val="000000"/>
              </w:rPr>
              <w:t>南京→机场→哈尔滨(巴士)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赠送游览瞻仰国父陵园【5A中山陵】（游览时间约1.5H），周一中山陵墓室闭馆，游客可在博爱坊附近自由活动），中山陵地处于南京市东郊紫金山南麓，是中华民国国父、中国民主革命先行者孙中山的陵墓。被誉为“中国近代建筑史上第一陵”。（周一祭堂和墓室关闭进行日常维护，不能正常参观,平时实行预约制，旺季预约人满无法入园，不含环保车自愿选择，如旺季预约不上改为游览南京大报恩寺或雨花台参观，当地导游依据情况而定，旅游旺季不接受因此造成的投诉敬请谅解）根据航班时间送往机场，返回温馨的家（赠送景点不去不退）行程说明：以上行程所列时间为大概参考时间，旅游旺季出现景区堵车、餐厅拥挤排队、高速堵车、天气等特殊情况时，当团导游会根据实际情况适当调整行程游览顺序及时间，请游客理解并予以配合！</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交通】当地空调旅游大巴（保证一人一座，15人以下用17座旅游车不含行李箱）【住宿】全程3晚四星（未挂牌）酒店+1晚水乡周庄外客栈+1晚五星（未挂牌），全程酒店赠送自助早餐不吃不退。房差550元全程根据旅局规定，旨在倡导绿色出行，旅游住宿业将不再主动提供牙刷、梳子、浴擦、剃须刀、指甲锉、鞋擦这些一次性日用品、不便之处敬请谅解！（华东区域多为是经济一线城市，城市规模较大，旅行社团队用房一般在郊区，距离市中心较远，因此造成的不便还请谅解，感谢理解）【用餐】全程5早8正其中一餐升级杭州特色御茶宴（餐标：20元/人.不含酒水饮料。由于团队提前预定，个人原因不吃不退，敬请理解，华东饮食清淡可自备咸菜辣酱辅助）【门票】含景区首道大门票。赠送景点不去费用不退。【儿童】儿童游客只含车位、正座、及儿童正餐，不含酒店早餐；其它产生费用自理！【导游】优秀专业专职导游服务（地接导游）【购物】0购物（餐厅内景区内自设场所不算做旅游购物店安排）【说明】由于个人征信原因无法购买机票，费用全损，将不退任何费用敬请谅解。【备注】如遇天气原因或其他不可抗力因素导致航班延误取消产生的费用客人自理。费用不含：1、自由活动期间交通费和餐费；2、全程入住酒店产生的单房差及加床费用，入住房间以标间为准，如需要其他类型房间，需自行按照酒店标注价格补房间差价；3、航空保险（建议旅游者购买）；4、因交通延误、取消等意外事件或不可抗力原因导致的额外费用；5、12岁以下的儿童报价（含导服、正餐，车位）；（不含景点门票、不占床、不含早餐）6、因旅游者违约、自身过错、自身疾病等自身原因导致的人身财产损失而额外支付的费用失而额外支付的费用；7、不占床位游客不含早餐。8、不含景区环保车敬请自理：牛首山环保车25元/人，周庄环保车20元/人，鼋头渚环保车40元/人，西湖游船55/人自愿乘坐，中山陵环保车20/人自愿乘坐。</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韩星竹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26</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2023/9/26 2:42:53</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