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嘻游旅行团队/散客确认书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飞天国旅</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王锐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18644081456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浙江嘻游国际旅行社有限公司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韩星竹</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XY-WPJN-20230928A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十一王牌江南</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2023-09-28</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2023-10-03</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21(21大)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2023-09-28 MU6562 哈尔滨→上海 19:10-22:20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2023-09-28 HO1138 哈尔滨→上海 19:55-23:10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2023-10-03 MU5517 上海→哈尔滨 18:15-23:15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2023-10-03 HO1265 上海→哈尔滨 21:30-00:2</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1、王一丁</w:t>
            </w:r>
          </w:p>
        </w:tc>
        <w:tc>
          <w:tcPr>
            <w:tcW w:w="2310" w:type="dxa"/>
            <w:vAlign w:val="center"/>
            <w:gridSpan w:val="2"/>
          </w:tcPr>
          <w:p>
            <w:pPr/>
            <w:r>
              <w:rPr>
                <w:lang w:val="zh-CN"/>
                <w:rFonts w:ascii="Times New Roman" w:hAnsi="Times New Roman" w:cs="Times New Roman"/>
                <w:sz w:val="20"/>
                <w:szCs w:val="20"/>
                <w:color w:val="000000"/>
              </w:rPr>
              <w:t>230105200402173710</w:t>
            </w:r>
          </w:p>
        </w:tc>
        <w:tc>
          <w:tcPr>
            <w:tcW w:w="2310" w:type="dxa"/>
            <w:vAlign w:val="center"/>
          </w:tcPr>
          <w:p>
            <w:pPr/>
            <w:r>
              <w:rPr>
                <w:lang w:val="zh-CN"/>
                <w:rFonts w:ascii="Times New Roman" w:hAnsi="Times New Roman" w:cs="Times New Roman"/>
                <w:sz w:val="20"/>
                <w:szCs w:val="20"/>
                <w:color w:val="000000"/>
              </w:rPr>
              <w:t>13904680919</w:t>
            </w:r>
          </w:p>
        </w:tc>
        <w:tc>
          <w:tcPr>
            <w:tcW w:w="2310" w:type="dxa"/>
            <w:vAlign w:val="center"/>
          </w:tcPr>
          <w:p>
            <w:pPr/>
            <w:r>
              <w:rPr>
                <w:lang w:val="zh-CN"/>
                <w:rFonts w:ascii="Times New Roman" w:hAnsi="Times New Roman" w:cs="Times New Roman"/>
                <w:sz w:val="20"/>
                <w:szCs w:val="20"/>
                <w:color w:val="000000"/>
              </w:rPr>
              <w:t>2、王禹</w:t>
            </w:r>
          </w:p>
        </w:tc>
        <w:tc>
          <w:tcPr>
            <w:tcW w:w="2310" w:type="dxa"/>
            <w:vAlign w:val="center"/>
            <w:gridSpan w:val="2"/>
          </w:tcPr>
          <w:p>
            <w:pPr/>
            <w:r>
              <w:rPr>
                <w:lang w:val="zh-CN"/>
                <w:rFonts w:ascii="Times New Roman" w:hAnsi="Times New Roman" w:cs="Times New Roman"/>
                <w:sz w:val="20"/>
                <w:szCs w:val="20"/>
                <w:color w:val="000000"/>
              </w:rPr>
              <w:t>230402197611080011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3、贺庆义</w:t>
            </w:r>
          </w:p>
        </w:tc>
        <w:tc>
          <w:tcPr>
            <w:tcW w:w="2310" w:type="dxa"/>
            <w:vAlign w:val="center"/>
            <w:gridSpan w:val="2"/>
          </w:tcPr>
          <w:p>
            <w:pPr/>
            <w:r>
              <w:rPr>
                <w:lang w:val="zh-CN"/>
                <w:rFonts w:ascii="Times New Roman" w:hAnsi="Times New Roman" w:cs="Times New Roman"/>
                <w:sz w:val="20"/>
                <w:szCs w:val="20"/>
                <w:color w:val="000000"/>
              </w:rPr>
              <w:t>232301196308090239</w:t>
            </w:r>
          </w:p>
        </w:tc>
        <w:tc>
          <w:tcPr>
            <w:tcW w:w="2310" w:type="dxa"/>
            <w:vAlign w:val="center"/>
          </w:tcPr>
          <w:p>
            <w:pPr/>
            <w:r>
              <w:rPr>
                <w:lang w:val="zh-CN"/>
                <w:rFonts w:ascii="Times New Roman" w:hAnsi="Times New Roman" w:cs="Times New Roman"/>
                <w:sz w:val="20"/>
                <w:szCs w:val="20"/>
                <w:color w:val="000000"/>
              </w:rPr>
              <w:t>15945598722</w:t>
            </w:r>
          </w:p>
        </w:tc>
        <w:tc>
          <w:tcPr>
            <w:tcW w:w="2310" w:type="dxa"/>
            <w:vAlign w:val="center"/>
          </w:tcPr>
          <w:p>
            <w:pPr/>
            <w:r>
              <w:rPr>
                <w:lang w:val="zh-CN"/>
                <w:rFonts w:ascii="Times New Roman" w:hAnsi="Times New Roman" w:cs="Times New Roman"/>
                <w:sz w:val="20"/>
                <w:szCs w:val="20"/>
                <w:color w:val="000000"/>
              </w:rPr>
              <w:t>4、王济洲</w:t>
            </w:r>
          </w:p>
        </w:tc>
        <w:tc>
          <w:tcPr>
            <w:tcW w:w="2310" w:type="dxa"/>
            <w:vAlign w:val="center"/>
            <w:gridSpan w:val="2"/>
          </w:tcPr>
          <w:p>
            <w:pPr/>
            <w:r>
              <w:rPr>
                <w:lang w:val="zh-CN"/>
                <w:rFonts w:ascii="Times New Roman" w:hAnsi="Times New Roman" w:cs="Times New Roman"/>
                <w:sz w:val="20"/>
                <w:szCs w:val="20"/>
                <w:color w:val="000000"/>
              </w:rPr>
              <w:t>232301196309111345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5、惠哲贤</w:t>
            </w:r>
          </w:p>
        </w:tc>
        <w:tc>
          <w:tcPr>
            <w:tcW w:w="2310" w:type="dxa"/>
            <w:vAlign w:val="center"/>
            <w:gridSpan w:val="2"/>
          </w:tcPr>
          <w:p>
            <w:pPr/>
            <w:r>
              <w:rPr>
                <w:lang w:val="zh-CN"/>
                <w:rFonts w:ascii="Times New Roman" w:hAnsi="Times New Roman" w:cs="Times New Roman"/>
                <w:sz w:val="20"/>
                <w:szCs w:val="20"/>
                <w:color w:val="000000"/>
              </w:rPr>
              <w:t>152103199509150619</w:t>
            </w:r>
          </w:p>
        </w:tc>
        <w:tc>
          <w:tcPr>
            <w:tcW w:w="2310" w:type="dxa"/>
            <w:vAlign w:val="center"/>
          </w:tcPr>
          <w:p>
            <w:pPr/>
            <w:r>
              <w:rPr>
                <w:lang w:val="zh-CN"/>
                <w:rFonts w:ascii="Times New Roman" w:hAnsi="Times New Roman" w:cs="Times New Roman"/>
                <w:sz w:val="20"/>
                <w:szCs w:val="20"/>
                <w:color w:val="000000"/>
              </w:rPr>
              <w:t>18846035379</w:t>
            </w:r>
          </w:p>
        </w:tc>
        <w:tc>
          <w:tcPr>
            <w:tcW w:w="2310" w:type="dxa"/>
            <w:vAlign w:val="center"/>
          </w:tcPr>
          <w:p>
            <w:pPr/>
            <w:r>
              <w:rPr>
                <w:lang w:val="zh-CN"/>
                <w:rFonts w:ascii="Times New Roman" w:hAnsi="Times New Roman" w:cs="Times New Roman"/>
                <w:sz w:val="20"/>
                <w:szCs w:val="20"/>
                <w:color w:val="000000"/>
              </w:rPr>
              <w:t>6、韩文婷</w:t>
            </w:r>
          </w:p>
        </w:tc>
        <w:tc>
          <w:tcPr>
            <w:tcW w:w="2310" w:type="dxa"/>
            <w:vAlign w:val="center"/>
            <w:gridSpan w:val="2"/>
          </w:tcPr>
          <w:p>
            <w:pPr/>
            <w:r>
              <w:rPr>
                <w:lang w:val="zh-CN"/>
                <w:rFonts w:ascii="Times New Roman" w:hAnsi="Times New Roman" w:cs="Times New Roman"/>
                <w:sz w:val="20"/>
                <w:szCs w:val="20"/>
                <w:color w:val="000000"/>
              </w:rPr>
              <w:t>152103199808053325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7、李桂娟</w:t>
            </w:r>
          </w:p>
        </w:tc>
        <w:tc>
          <w:tcPr>
            <w:tcW w:w="2310" w:type="dxa"/>
            <w:vAlign w:val="center"/>
            <w:gridSpan w:val="2"/>
          </w:tcPr>
          <w:p>
            <w:pPr/>
            <w:r>
              <w:rPr>
                <w:lang w:val="zh-CN"/>
                <w:rFonts w:ascii="Times New Roman" w:hAnsi="Times New Roman" w:cs="Times New Roman"/>
                <w:sz w:val="20"/>
                <w:szCs w:val="20"/>
                <w:color w:val="000000"/>
              </w:rPr>
              <w:t>23022619700504132X</w:t>
            </w:r>
          </w:p>
        </w:tc>
        <w:tc>
          <w:tcPr>
            <w:tcW w:w="2310" w:type="dxa"/>
            <w:vAlign w:val="center"/>
          </w:tcPr>
          <w:p>
            <w:pPr/>
            <w:r>
              <w:rPr>
                <w:lang w:val="zh-CN"/>
                <w:rFonts w:ascii="Times New Roman" w:hAnsi="Times New Roman" w:cs="Times New Roman"/>
                <w:sz w:val="20"/>
                <w:szCs w:val="20"/>
                <w:color w:val="000000"/>
              </w:rPr>
              <w:t>13349498088</w:t>
            </w:r>
          </w:p>
        </w:tc>
        <w:tc>
          <w:tcPr>
            <w:tcW w:w="2310" w:type="dxa"/>
            <w:vAlign w:val="center"/>
          </w:tcPr>
          <w:p>
            <w:pPr/>
            <w:r>
              <w:rPr>
                <w:lang w:val="zh-CN"/>
                <w:rFonts w:ascii="Times New Roman" w:hAnsi="Times New Roman" w:cs="Times New Roman"/>
                <w:sz w:val="20"/>
                <w:szCs w:val="20"/>
                <w:color w:val="000000"/>
              </w:rPr>
              <w:t>8、王洪生</w:t>
            </w:r>
          </w:p>
        </w:tc>
        <w:tc>
          <w:tcPr>
            <w:tcW w:w="2310" w:type="dxa"/>
            <w:vAlign w:val="center"/>
            <w:gridSpan w:val="2"/>
          </w:tcPr>
          <w:p>
            <w:pPr/>
            <w:r>
              <w:rPr>
                <w:lang w:val="zh-CN"/>
                <w:rFonts w:ascii="Times New Roman" w:hAnsi="Times New Roman" w:cs="Times New Roman"/>
                <w:sz w:val="20"/>
                <w:szCs w:val="20"/>
                <w:color w:val="000000"/>
              </w:rPr>
              <w:t>230624196309090512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9、郑维霞</w:t>
            </w:r>
          </w:p>
        </w:tc>
        <w:tc>
          <w:tcPr>
            <w:tcW w:w="2310" w:type="dxa"/>
            <w:vAlign w:val="center"/>
            <w:gridSpan w:val="2"/>
          </w:tcPr>
          <w:p>
            <w:pPr/>
            <w:r>
              <w:rPr>
                <w:lang w:val="zh-CN"/>
                <w:rFonts w:ascii="Times New Roman" w:hAnsi="Times New Roman" w:cs="Times New Roman"/>
                <w:sz w:val="20"/>
                <w:szCs w:val="20"/>
                <w:color w:val="000000"/>
              </w:rPr>
              <w:t>23023119830701332X</w:t>
            </w:r>
          </w:p>
        </w:tc>
        <w:tc>
          <w:tcPr>
            <w:tcW w:w="2310" w:type="dxa"/>
            <w:vAlign w:val="center"/>
          </w:tcPr>
          <w:p>
            <w:pPr/>
            <w:r>
              <w:rPr>
                <w:lang w:val="zh-CN"/>
                <w:rFonts w:ascii="Times New Roman" w:hAnsi="Times New Roman" w:cs="Times New Roman"/>
                <w:sz w:val="20"/>
                <w:szCs w:val="20"/>
                <w:color w:val="000000"/>
              </w:rPr>
              <w:t>13804679669</w:t>
            </w:r>
          </w:p>
        </w:tc>
        <w:tc>
          <w:tcPr>
            <w:tcW w:w="2310" w:type="dxa"/>
            <w:vAlign w:val="center"/>
          </w:tcPr>
          <w:p>
            <w:pPr/>
            <w:r>
              <w:rPr>
                <w:lang w:val="zh-CN"/>
                <w:rFonts w:ascii="Times New Roman" w:hAnsi="Times New Roman" w:cs="Times New Roman"/>
                <w:sz w:val="20"/>
                <w:szCs w:val="20"/>
                <w:color w:val="000000"/>
              </w:rPr>
              <w:t>10、孙睿</w:t>
            </w:r>
          </w:p>
        </w:tc>
        <w:tc>
          <w:tcPr>
            <w:tcW w:w="2310" w:type="dxa"/>
            <w:vAlign w:val="center"/>
            <w:gridSpan w:val="2"/>
          </w:tcPr>
          <w:p>
            <w:pPr/>
            <w:r>
              <w:rPr>
                <w:lang w:val="zh-CN"/>
                <w:rFonts w:ascii="Times New Roman" w:hAnsi="Times New Roman" w:cs="Times New Roman"/>
                <w:sz w:val="20"/>
                <w:szCs w:val="20"/>
                <w:color w:val="000000"/>
              </w:rPr>
              <w:t>23060420141130102X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11、韩俊文</w:t>
            </w:r>
          </w:p>
        </w:tc>
        <w:tc>
          <w:tcPr>
            <w:tcW w:w="2310" w:type="dxa"/>
            <w:vAlign w:val="center"/>
            <w:gridSpan w:val="2"/>
          </w:tcPr>
          <w:p>
            <w:pPr/>
            <w:r>
              <w:rPr>
                <w:lang w:val="zh-CN"/>
                <w:rFonts w:ascii="Times New Roman" w:hAnsi="Times New Roman" w:cs="Times New Roman"/>
                <w:sz w:val="20"/>
                <w:szCs w:val="20"/>
                <w:color w:val="000000"/>
              </w:rPr>
              <w:t>23212619760305037X</w:t>
            </w:r>
          </w:p>
        </w:tc>
        <w:tc>
          <w:tcPr>
            <w:tcW w:w="2310" w:type="dxa"/>
            <w:vAlign w:val="center"/>
          </w:tcPr>
          <w:p>
            <w:pPr/>
            <w:r>
              <w:rPr>
                <w:lang w:val="zh-CN"/>
                <w:rFonts w:ascii="Times New Roman" w:hAnsi="Times New Roman" w:cs="Times New Roman"/>
                <w:sz w:val="20"/>
                <w:szCs w:val="20"/>
                <w:color w:val="000000"/>
              </w:rPr>
              <w:t>15046029988</w:t>
            </w:r>
          </w:p>
        </w:tc>
        <w:tc>
          <w:tcPr>
            <w:tcW w:w="2310" w:type="dxa"/>
            <w:vAlign w:val="center"/>
          </w:tcPr>
          <w:p>
            <w:pPr/>
            <w:r>
              <w:rPr>
                <w:lang w:val="zh-CN"/>
                <w:rFonts w:ascii="Times New Roman" w:hAnsi="Times New Roman" w:cs="Times New Roman"/>
                <w:sz w:val="20"/>
                <w:szCs w:val="20"/>
                <w:color w:val="000000"/>
              </w:rPr>
              <w:t>12、韩喆</w:t>
            </w:r>
          </w:p>
        </w:tc>
        <w:tc>
          <w:tcPr>
            <w:tcW w:w="2310" w:type="dxa"/>
            <w:vAlign w:val="center"/>
            <w:gridSpan w:val="2"/>
          </w:tcPr>
          <w:p>
            <w:pPr/>
            <w:r>
              <w:rPr>
                <w:lang w:val="zh-CN"/>
                <w:rFonts w:ascii="Times New Roman" w:hAnsi="Times New Roman" w:cs="Times New Roman"/>
                <w:sz w:val="20"/>
                <w:szCs w:val="20"/>
                <w:color w:val="000000"/>
              </w:rPr>
              <w:t>230126201211150360</w:t>
            </w:r>
          </w:p>
        </w:tc>
        <w:tc>
          <w:tcPr>
            <w:tcW w:w="2310" w:type="dxa"/>
            <w:vAlign w:val="center"/>
          </w:tcPr>
          <w:p>
            <w:pPr/>
            <w:r>
              <w:rPr>
                <w:lang w:val="zh-CN"/>
                <w:rFonts w:ascii="Times New Roman" w:hAnsi="Times New Roman" w:cs="Times New Roman"/>
                <w:sz w:val="20"/>
                <w:szCs w:val="20"/>
                <w:color w:val="000000"/>
              </w:rPr>
              <w:t>15114618885</w:t>
            </w:r>
          </w:p>
        </w:tc>
      </w:tr>
      <w:tr>
        <w:tc>
          <w:tcPr>
            <w:tcW w:w="2310" w:type="dxa"/>
            <w:vAlign w:val="center"/>
          </w:tcPr>
          <w:p>
            <w:pPr/>
            <w:r>
              <w:rPr>
                <w:lang w:val="zh-CN"/>
                <w:rFonts w:ascii="Times New Roman" w:hAnsi="Times New Roman" w:cs="Times New Roman"/>
                <w:sz w:val="20"/>
                <w:szCs w:val="20"/>
                <w:color w:val="000000"/>
              </w:rPr>
              <w:t>13、张红艳</w:t>
            </w:r>
          </w:p>
        </w:tc>
        <w:tc>
          <w:tcPr>
            <w:tcW w:w="2310" w:type="dxa"/>
            <w:vAlign w:val="center"/>
            <w:gridSpan w:val="2"/>
          </w:tcPr>
          <w:p>
            <w:pPr/>
            <w:r>
              <w:rPr>
                <w:lang w:val="zh-CN"/>
                <w:rFonts w:ascii="Times New Roman" w:hAnsi="Times New Roman" w:cs="Times New Roman"/>
                <w:sz w:val="20"/>
                <w:szCs w:val="20"/>
                <w:color w:val="000000"/>
              </w:rPr>
              <w:t>230722198109100925</w:t>
            </w:r>
          </w:p>
        </w:tc>
        <w:tc>
          <w:tcPr>
            <w:tcW w:w="2310" w:type="dxa"/>
            <w:vAlign w:val="center"/>
          </w:tcPr>
          <w:p>
            <w:pPr/>
            <w:r>
              <w:rPr>
                <w:lang w:val="zh-CN"/>
                <w:rFonts w:ascii="Times New Roman" w:hAnsi="Times New Roman" w:cs="Times New Roman"/>
                <w:sz w:val="20"/>
                <w:szCs w:val="20"/>
                <w:color w:val="000000"/>
              </w:rPr>
              <w:t>15146006615</w:t>
            </w:r>
          </w:p>
        </w:tc>
        <w:tc>
          <w:tcPr>
            <w:tcW w:w="2310" w:type="dxa"/>
            <w:vAlign w:val="center"/>
          </w:tcPr>
          <w:p>
            <w:pPr/>
            <w:r>
              <w:rPr>
                <w:lang w:val="zh-CN"/>
                <w:rFonts w:ascii="Times New Roman" w:hAnsi="Times New Roman" w:cs="Times New Roman"/>
                <w:sz w:val="20"/>
                <w:szCs w:val="20"/>
                <w:color w:val="000000"/>
              </w:rPr>
              <w:t>14、公桂玲</w:t>
            </w:r>
          </w:p>
        </w:tc>
        <w:tc>
          <w:tcPr>
            <w:tcW w:w="2310" w:type="dxa"/>
            <w:vAlign w:val="center"/>
            <w:gridSpan w:val="2"/>
          </w:tcPr>
          <w:p>
            <w:pPr/>
            <w:r>
              <w:rPr>
                <w:lang w:val="zh-CN"/>
                <w:rFonts w:ascii="Times New Roman" w:hAnsi="Times New Roman" w:cs="Times New Roman"/>
                <w:sz w:val="20"/>
                <w:szCs w:val="20"/>
                <w:color w:val="000000"/>
              </w:rPr>
              <w:t>23072219600429092x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15、张继文</w:t>
            </w:r>
          </w:p>
        </w:tc>
        <w:tc>
          <w:tcPr>
            <w:tcW w:w="2310" w:type="dxa"/>
            <w:vAlign w:val="center"/>
            <w:gridSpan w:val="2"/>
          </w:tcPr>
          <w:p>
            <w:pPr/>
            <w:r>
              <w:rPr>
                <w:lang w:val="zh-CN"/>
                <w:rFonts w:ascii="Times New Roman" w:hAnsi="Times New Roman" w:cs="Times New Roman"/>
                <w:sz w:val="20"/>
                <w:szCs w:val="20"/>
                <w:color w:val="000000"/>
              </w:rPr>
              <w:t>230722201302170911</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21</w:t>
            </w:r>
          </w:p>
        </w:tc>
        <w:tc>
          <w:tcPr>
            <w:tcW w:w="2310" w:type="dxa"/>
          </w:tcPr>
          <w:p>
            <w:pPr/>
            <w:r>
              <w:rPr>
                <w:lang w:val="zh-CN"/>
                <w:rFonts w:ascii="Times New Roman" w:hAnsi="Times New Roman" w:cs="Times New Roman"/>
                <w:sz w:val="20"/>
                <w:szCs w:val="20"/>
                <w:color w:val="000000"/>
              </w:rPr>
              <w:t>1700.00</w:t>
            </w:r>
          </w:p>
        </w:tc>
        <w:tc>
          <w:tcPr>
            <w:tcW w:w="2310" w:type="dxa"/>
          </w:tcPr>
          <w:p>
            <w:pPr/>
            <w:r>
              <w:rPr>
                <w:lang w:val="zh-CN"/>
                <w:rFonts w:ascii="Times New Roman" w:hAnsi="Times New Roman" w:cs="Times New Roman"/>
                <w:sz w:val="20"/>
                <w:szCs w:val="20"/>
                <w:color w:val="000000"/>
              </w:rPr>
              <w:t>35700.00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总金额：叁万伍仟柒佰元整</w:t>
            </w:r>
          </w:p>
        </w:tc>
        <w:tc>
          <w:tcPr>
            <w:tcW w:w="2310" w:type="dxa"/>
            <w:textDirection w:val="right"/>
            <w:gridSpan w:val="3"/>
          </w:tcPr>
          <w:p>
            <w:pPr/>
            <w:r>
              <w:rPr>
                <w:lang w:val="zh-CN"/>
                <w:rFonts w:ascii="Times New Roman" w:hAnsi="Times New Roman" w:cs="Times New Roman"/>
                <w:b/>
                <w:color w:val="FF0000"/>
              </w:rPr>
              <w:t>35700.00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招商银行杭州分行</w:t>
            </w:r>
          </w:p>
        </w:tc>
        <w:tc>
          <w:tcPr>
            <w:tcW w:w="2310" w:type="dxa"/>
            <w:gridSpan w:val="2"/>
          </w:tcPr>
          <w:p>
            <w:pPr/>
            <w:r>
              <w:rPr>
                <w:lang w:val="zh-CN"/>
                <w:rFonts w:ascii="Times New Roman" w:hAnsi="Times New Roman" w:cs="Times New Roman"/>
                <w:sz w:val="20"/>
                <w:szCs w:val="20"/>
                <w:color w:val="000000"/>
              </w:rPr>
              <w:t>王扬</w:t>
            </w:r>
          </w:p>
        </w:tc>
        <w:tc>
          <w:tcPr>
            <w:tcW w:w="2310" w:type="dxa"/>
            <w:gridSpan w:val="3"/>
          </w:tcPr>
          <w:p>
            <w:pPr/>
            <w:r>
              <w:rPr>
                <w:lang w:val="zh-CN"/>
                <w:rFonts w:ascii="Times New Roman" w:hAnsi="Times New Roman" w:cs="Times New Roman"/>
                <w:sz w:val="20"/>
                <w:szCs w:val="20"/>
                <w:color w:val="000000"/>
              </w:rPr>
              <w:t>6231 3657 1255 7888</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2023/09/28</w:t>
            </w:r>
          </w:p>
        </w:tc>
        <w:tc>
          <w:tcPr>
            <w:tcW w:w="2310" w:type="dxa"/>
            <w:gridSpan w:val="7"/>
          </w:tcPr>
          <w:p>
            <w:pPr/>
            <w:r>
              <w:rPr>
                <w:lang w:val="zh-CN"/>
                <w:rFonts w:ascii="Times New Roman" w:hAnsi="Times New Roman" w:cs="Times New Roman"/>
                <w:b/>
                <w:color w:val="000000"/>
              </w:rPr>
              <w:t>哈尔滨→上海(飞机)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★各位贵宾于指定的时间哈尔滨机场二楼问讯处集合。前往上海，接团后入住酒店休息。住：上海指定四星未挂牌或携程三钻酒店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早餐：自理；午餐：自理；晚餐：自理；住宿：上海指定四星未挂牌或携程三钻酒店</w:t>
            </w:r>
          </w:p>
        </w:tc>
      </w:tr>
      <w:tr>
        <w:tc>
          <w:tcPr>
            <w:tcW w:w="2310" w:type="dxa"/>
            <w:vAlign w:val="center"/>
            <w:vMerge w:val="restart"/>
          </w:tcPr>
          <w:p>
            <w:pPr/>
            <w:r>
              <w:rPr>
                <w:lang w:val="zh-CN"/>
                <w:rFonts w:ascii="Times New Roman" w:hAnsi="Times New Roman" w:cs="Times New Roman"/>
                <w:sz w:val="20"/>
                <w:szCs w:val="20"/>
                <w:color w:val="000000"/>
              </w:rPr>
              <w:t>2023/09/29</w:t>
            </w:r>
          </w:p>
        </w:tc>
        <w:tc>
          <w:tcPr>
            <w:tcW w:w="2310" w:type="dxa"/>
            <w:gridSpan w:val="7"/>
          </w:tcPr>
          <w:p>
            <w:pPr/>
            <w:r>
              <w:rPr>
                <w:lang w:val="zh-CN"/>
                <w:rFonts w:ascii="Times New Roman" w:hAnsi="Times New Roman" w:cs="Times New Roman"/>
                <w:b/>
                <w:color w:val="000000"/>
              </w:rPr>
              <w:t>上海→南京(大巴)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车赴南京，赠送游览瞻仰国父陵园【5A中山陵】（游览时间约1.5H），周一中山陵墓室闭馆，游客可在博爱坊附近自由活动），中山陵地处于南京市东郊紫金山南麓，是中华民国国父、中国民主革命先行者孙中山的陵墓。被誉为“中国近代建筑史上第一陵”。（周一祭堂和墓室关闭进行日常维护，不能正常参观,平时实行预约制，旺季预约人满无法入园，不含环保车自愿选择，如旺季预约不上改为游览南京大报恩寺或雨花台参观，当地导游依据情况而定，旅游旺季不接受因此造成的投诉敬请谅解）★赠送，闲逛【5A夫子庙·秦淮风光带】（游览时间不少于1H）夫子庙建筑群两侧坐落着两个商品市场，街上商铺云集，商品种类繁多，形成了服装商场、古玩字画、花鸟虫鱼为特色的集贸市场群，显示出文化的商业性价值，具有浓郁的旅游、休闲、购物为一体的商业氛围。温馨提示：十一假期堵车，请提前准备小吃零食在车上食用。如午餐无法按时用餐按餐标退餐费。</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早餐：含；午餐：含；晚餐：含；住宿：南京指定四星未挂牌或携程三钻酒店</w:t>
            </w:r>
          </w:p>
        </w:tc>
      </w:tr>
      <w:tr>
        <w:tc>
          <w:tcPr>
            <w:tcW w:w="2310" w:type="dxa"/>
            <w:vAlign w:val="center"/>
            <w:vMerge w:val="restart"/>
          </w:tcPr>
          <w:p>
            <w:pPr/>
            <w:r>
              <w:rPr>
                <w:lang w:val="zh-CN"/>
                <w:rFonts w:ascii="Times New Roman" w:hAnsi="Times New Roman" w:cs="Times New Roman"/>
                <w:sz w:val="20"/>
                <w:szCs w:val="20"/>
                <w:color w:val="000000"/>
              </w:rPr>
              <w:t>2023/09/30</w:t>
            </w:r>
          </w:p>
        </w:tc>
        <w:tc>
          <w:tcPr>
            <w:tcW w:w="2310" w:type="dxa"/>
            <w:gridSpan w:val="7"/>
          </w:tcPr>
          <w:p>
            <w:pPr/>
            <w:r>
              <w:rPr>
                <w:lang w:val="zh-CN"/>
                <w:rFonts w:ascii="Times New Roman" w:hAnsi="Times New Roman" w:cs="Times New Roman"/>
                <w:b/>
                <w:color w:val="000000"/>
              </w:rPr>
              <w:t>南京→无锡→苏州(大巴)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金陵建筑奇迹，金陵八景之一的【4A牛首山】（游览时间约2H）牛首山是中国佛教名山，文化底蕴深厚，是佛教牛头禅宗的开教处和发祥地。山周围有感应泉、虎跑泉、白龟池、兜率岩、文殊洞、辟支洞、含虚阁、地涌泉、饮马池等自然景观，及宏觉寺、弘觉寺塔、郑和墓和抗金故垒等人文景观。牛首山风景宜人，每岁届春金陵百姓倾城出游，故有“春牛首”之称。清乾隆年间“牛首烟岚”列入金陵四十八景中。佛顶宫以佛祖顶骨舍利供奉为主题，外部分为大穹顶和小穹顶两个部分，寓意外供养和内供养。大穹顶形如佛祖袈裟覆盖在小穹顶之上，象征着佛祖的无量加持；小穹顶下部为莲花宝座造型，上部为摩尼宝珠造型，上下结合形成“莲花托珍宝”的神圣意象。（不含环保车25元/人建议乘坐）★车赴无锡（车程约2H），“太湖佳绝处、毕竟在鼋头”【5A鼋头渚+赠送船游太湖】（游览时间不少于1.5H）游览太湖最佳赏景处：具区胜景、鼋渚春涛、万浪卷雪、鹿顶迎辉、充山隐秀等景区。（太湖游船为景区门票赠送项目，如因天气或景区原因不能乘坐不退费用哦，鼋头渚内旅游大巴车禁止通行，需换景区内环保车40元/人敬请自理）★车赴苏州，【漫步七里山塘街】（游览时间不少于1H）游姑苏第一名街，走进有着“老苏州的缩影、吴文化的窗口”号称的漫步在近1200年历史的步行街上，欣赏小桥流水人家，一河一街、粉墙黛瓦，小桥人家，体味山塘古街“江南水弄堂”的韵味。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早餐：含；午餐：含；晚餐：含；住宿：苏州指定五星未挂牌或携程四钻酒店</w:t>
            </w:r>
          </w:p>
        </w:tc>
      </w:tr>
      <w:tr>
        <w:tc>
          <w:tcPr>
            <w:tcW w:w="2310" w:type="dxa"/>
            <w:vAlign w:val="center"/>
            <w:vMerge w:val="restart"/>
          </w:tcPr>
          <w:p>
            <w:pPr/>
            <w:r>
              <w:rPr>
                <w:lang w:val="zh-CN"/>
                <w:rFonts w:ascii="Times New Roman" w:hAnsi="Times New Roman" w:cs="Times New Roman"/>
                <w:sz w:val="20"/>
                <w:szCs w:val="20"/>
                <w:color w:val="000000"/>
              </w:rPr>
              <w:t>2023/10/01</w:t>
            </w:r>
          </w:p>
        </w:tc>
        <w:tc>
          <w:tcPr>
            <w:tcW w:w="2310" w:type="dxa"/>
            <w:gridSpan w:val="7"/>
          </w:tcPr>
          <w:p>
            <w:pPr/>
            <w:r>
              <w:rPr>
                <w:lang w:val="zh-CN"/>
                <w:rFonts w:ascii="Times New Roman" w:hAnsi="Times New Roman" w:cs="Times New Roman"/>
                <w:b/>
                <w:color w:val="000000"/>
              </w:rPr>
              <w:t>苏州→杭州(大巴)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车赴素有“东方小威尼斯”美称的古镇-同里；游览：【同里古镇5A】（游览不少于1H）同里自宋代建镇距今已有一千多年历史。镇内自成水网，家家临水，户户通舟”同里镇舟，游著名水园-【退思园】、江南特色婚俗馆-崇本堂、嘉荫堂等景点，领略独特水乡风情。★车赴桐乡，游览【5A级乌镇东栅景区】（游览时间不少于1.5H）以其原汁原味的水乡风貌和深厚的文化底蕴，一跃成为中国著名的古镇旅游胜地。景区由东栅老街、观前街、河边水阁、廊棚组成，游览包括翰林第、古戏台、蓝印花布染坊、乌镇民俗风情馆、江南百床馆等二十多个景点。★赴杭州（车程约1.5小时），★游【5A宋城景区&amp;宋城千古情】（游览时间不少于4H，含表演约1H）市井街从宋皇宫开始的整条市井街是最能感受到宋代市井生活气息的地方，从王员外家一路开始的打铁铺、客家糍粑、榨油坊、胭脂巷等这些传统特色的临街店铺，让过去的市井生活场景骤然还原在你眼前。街上极有存在感的衙门，让穿越的感觉也变得更加确切。观看【宋城千古情表演】“给我一天，还你千年”大型歌舞表演，是杭州宋城的灵魂，用最先进声、光、电的科技手段和舞台机械、以出其不意的呈现方式演艺了良渚古人的艰辛，宋皇宫的辉煌，岳家军的惨烈，梁祝和白蛇许仙的千古绝唱，极具视觉体验和心灵震撼，被誉为“世界三大名秀”之一。温馨提示：宋城表演为普通座宾席不指定位置区域景区随机出票，一经出票无法退换。后入住酒店休息。宿：杭州指定四星未挂牌酒店或携程三钻酒店温馨提示：杭州亚运会期间酒店若遇政府征用或管制，酒店可能会调整到杭州周边其它城市入住，敬请理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早餐：含；午餐：含；晚餐：含；住宿：杭州指定四星未挂牌酒店或携程三钻酒店</w:t>
            </w:r>
          </w:p>
        </w:tc>
      </w:tr>
      <w:tr>
        <w:tc>
          <w:tcPr>
            <w:tcW w:w="2310" w:type="dxa"/>
            <w:vAlign w:val="center"/>
            <w:vMerge w:val="restart"/>
          </w:tcPr>
          <w:p>
            <w:pPr/>
            <w:r>
              <w:rPr>
                <w:lang w:val="zh-CN"/>
                <w:rFonts w:ascii="Times New Roman" w:hAnsi="Times New Roman" w:cs="Times New Roman"/>
                <w:sz w:val="20"/>
                <w:szCs w:val="20"/>
                <w:color w:val="000000"/>
              </w:rPr>
              <w:t>2023/10/02</w:t>
            </w:r>
          </w:p>
        </w:tc>
        <w:tc>
          <w:tcPr>
            <w:tcW w:w="2310" w:type="dxa"/>
            <w:gridSpan w:val="7"/>
          </w:tcPr>
          <w:p>
            <w:pPr/>
            <w:r>
              <w:rPr>
                <w:lang w:val="zh-CN"/>
                <w:rFonts w:ascii="Times New Roman" w:hAnsi="Times New Roman" w:cs="Times New Roman"/>
                <w:b/>
                <w:color w:val="000000"/>
              </w:rPr>
              <w:t>杭州→上海(大巴)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5A西湖风景区】（游览时间不少于1.5H）"上有天堂，下有苏杭"，杭州因美丽的西湖而闻名于世。西湖风景区的美景不仅春天独有，夏日里接天莲碧的荷花，秋夜中浸透月光的三潭，冬雪后疏影横斜的红梅，更有那烟柳笼纱中的莺啼，细雨迷蒙中的楼台------无论你在何时来，都会领略到不同寻常的风采（不含西湖游船55元/人自理）温馨提醒:涉及黄金周，节假日，周末，西湖风景区大巴车禁止进入，客人需要换乘景区公交车自理20/人。★车赴上海（车程约3小时）船游上海母亲河-【船游黄浦江】（游览约1H）欣赏上海乃至中国百年近代史缩影，外滩边上各式建筑，观东方明珠、金茂大厦、环球金融中心外景，使人身处两个不同世纪的交融中，感受魅力上海的国际大都市情调。★游览上海之最【登上海东方明珠电视塔中球】（游览时间不少于1H）乘电梯上东方明珠二球，360度俯瞰都市上海美景，两边的两座大桥，如两条巨龙，腾飞于黄浦江上，与中间的东方明珠一起，巧妙的组合成一幅二龙戏珠的巨幅画面。宿：上海四星（未挂牌）酒店或携程三钻酒店温馨提示：如因天气或客流量暴增排队堵车无票排队等不可抗力因素导致不能游览，按旅行社同业底价退费，不接受因此造成的投诉，敬请谅解，如因排队堵车不可抗力因素造成游览时间缩短，旅行社不承担责任不接受因此造成的投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早餐：含；午餐：含；晚餐：含；住宿：上海四星（未挂牌）酒店或携程三钻酒店</w:t>
            </w:r>
          </w:p>
        </w:tc>
      </w:tr>
      <w:tr>
        <w:tc>
          <w:tcPr>
            <w:tcW w:w="2310" w:type="dxa"/>
            <w:vAlign w:val="center"/>
            <w:vMerge w:val="restart"/>
          </w:tcPr>
          <w:p>
            <w:pPr/>
            <w:r>
              <w:rPr>
                <w:lang w:val="zh-CN"/>
                <w:rFonts w:ascii="Times New Roman" w:hAnsi="Times New Roman" w:cs="Times New Roman"/>
                <w:sz w:val="20"/>
                <w:szCs w:val="20"/>
                <w:color w:val="000000"/>
              </w:rPr>
              <w:t>2023/10/03</w:t>
            </w:r>
          </w:p>
        </w:tc>
        <w:tc>
          <w:tcPr>
            <w:tcW w:w="2310" w:type="dxa"/>
            <w:gridSpan w:val="7"/>
          </w:tcPr>
          <w:p>
            <w:pPr/>
            <w:r>
              <w:rPr>
                <w:lang w:val="zh-CN"/>
                <w:rFonts w:ascii="Times New Roman" w:hAnsi="Times New Roman" w:cs="Times New Roman"/>
                <w:b/>
                <w:color w:val="000000"/>
              </w:rPr>
              <w:t>上海→机场→哈尔滨(飞机)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被誉为“万国博物馆”的【上海外滩+南京路】（游览时间不少于1H）观黄浦公园、上海人民英雄纪念塔、黄浦江、陈毅塑像等；根据航班时间送往机场，返回温馨的家（赠送景点不去不退）行程说明：以上行程所列时间为大概参考时间，旅游旺季出现景区堵车、餐厅拥挤排队、高速堵车、天气等特殊情况时，当团导游会根据实际情况适当调整行程游览顺序及时间，请游客理解并予以配合！旅游旺季导游根据实际情况调整行程顺序，还请谅解华东地区进出港口众多，以机票出票实际进出地为准十一旺季景点排队人数较多，请放平和心态快乐出行如因排队堵车不可抗力因素造成游览时间缩短，旅行社不承担责任不接受因此造成的投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交通】当地空调旅游大巴（保证一人一座，15人以下用17座旅游车不含行李箱）【住宿】全程3晚四星（未挂牌）酒店+1晚五星（未挂牌），全程酒店赠送自助早餐不吃不退。根据旅局规定，旨在倡导绿色出行，旅游住宿业将不再主动提供牙刷、梳子、浴擦、剃须刀、指甲锉、鞋擦这些一次性日用品、不便之处敬请谅解！（华东区域多为是经济一线城市，城市规模较大，旅行社团队用房一般在郊区，距离市中心较远，因此造成的不便还请谅解，感谢理解）【用餐】全程5早8正其中一餐升级杭州特色御茶宴（餐标：20元/人.不含酒水饮料。由于团队提前预定，个人原因不吃不退，敬请理解，华东饮食清淡可自备咸菜辣酱辅助）【门票】含景区首道大门票。赠送景点不去费用不退。【儿童】儿童游客只含车位、正座、及儿童正餐，不含酒店早餐；其它产生费用自理！【导游】优秀专业专职导游服务（地接导游）【购物】0购物（餐厅内景区内自设场所不算做旅游购物店安排）【说明】由于个人征信原因无法购买机票，费用全损，将不退任何费用敬请谅解。【备注】如遇天气原因或其他不可抗力因素导致航班延误取消产生的费用客人自理。温馨提示：如因天气或客流量暴增排队堵车无票排队等不可抗力因素导致不能游览，按旅行社同业底价退费，不接受因此造成的投诉，敬请谅解，如因排队堵车不可抗力因素造成游览时间缩短，旅行社不承担责任不接受因此造成的投诉</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自由活动期间交通费和餐费；2、全程入住酒店产生的单房差及加床费用，入住房间以标间为准，如需要其他类型房间，需自行按照酒店标注价格补房间差价；3、航空保险（建议旅游者购买）；4、因交通延误、取消等意外事件或不可抗力原因导致的额外费用；5、12岁以下的儿童报价（含导服、正餐，车位）；（不含景点门票、不占床、不含早餐）6、因旅游者违约、自身过错、自身疾病等自身原因导致的人身财产损失而额外支付的费用失而额外支付的费用；7、不占床位游客不含早餐。8、不含景区环保车敬请自理：牛首山环保车25元/人，西湖换乘车20元/人，鼋头渚环保车40元/人，西湖游船55/人自愿乘坐，中山陵环保车20/人自愿乘坐。</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1、自由活动期间交通费和餐费；2、全程入住酒店产生的单房差及加床费用，入住房间以标间为准，如需要其他类型房间，需自行按照酒店标注价格补房间差价；3、航空保险（建议旅游者购买）；4、因交通延误、取消等意外事件或不可抗力原因导致的额外费用；5、12岁以下的儿童报价（含导服、正餐，车位）；（不含景点门票、不占床、不含早餐）6、因旅游者违约、自身过错、自身疾病等自身原因导致的人身财产损失而额外支付的费用失而额外支付的费用；7、不占床位游客不含早餐。8、不含景区环保车敬请自理：牛首山环保车25元/人，西湖换乘车20元/人，鼋头渚环保车40元/人，西湖游船55/人自愿乘坐，中山陵环保车20/人自愿乘坐。</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王锐</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韩星竹</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2023</w:t>
                  </w:r>
                  <w:r w:rsidR="00192D3B">
                    <w:rPr>
                      <w:rFonts w:asciiTheme="minorEastAsia" w:hAnsiTheme="minorEastAsia" w:hint="eastAsia"/>
                    </w:rPr>
                    <w:t xml:space="preserve">年 </w:t>
                  </w:r>
                  <w:r>
                    <w:rPr>
                      <w:rFonts w:asciiTheme="minorEastAsia" w:hAnsiTheme="minorEastAsia"/>
                    </w:rPr>
                    <w:t>9</w:t>
                  </w:r>
                  <w:r w:rsidR="00192D3B">
                    <w:rPr>
                      <w:rFonts w:asciiTheme="minorEastAsia" w:hAnsiTheme="minorEastAsia" w:hint="eastAsia"/>
                    </w:rPr>
                    <w:t xml:space="preserve">月 </w:t>
                  </w:r>
                  <w:r>
                    <w:rPr>
                      <w:rFonts w:asciiTheme="minorEastAsia" w:hAnsiTheme="minorEastAsia" w:hint="eastAsia"/>
                    </w:rPr>
                    <w:t>27</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2023/9/27 13:52:21</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