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嘻游旅行团队/散客确认书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飞天国旅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王锐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18644081456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浙江嘻游国际旅行社有限公司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韩梦瑶</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XY-WPJN-20231002A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十一王牌江南</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2023-10-02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2023-10-07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28(27大1小)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 xml:space="preserve">启程 2023-10-02 AQ1074   哈尔滨→南京 14:15-17:25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2023-10-07 AQ1073  南京→哈尔滨  13:25-16:2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1、赵航</w:t>
            </w:r>
          </w:p>
        </w:tc>
        <w:tc>
          <w:tcPr>
            <w:tcW w:w="2310" w:type="dxa"/>
            <w:vAlign w:val="center"/>
            <w:gridSpan w:val="2"/>
          </w:tcPr>
          <w:p>
            <w:pPr/>
            <w:r>
              <w:rPr>
                <w:lang w:val="zh-CN"/>
                <w:rFonts w:ascii="Times New Roman" w:hAnsi="Times New Roman" w:cs="Times New Roman"/>
                <w:sz w:val="20"/>
                <w:szCs w:val="20"/>
                <w:color w:val="000000"/>
              </w:rPr>
              <w:t>232301200003180224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2、张金昌</w:t>
            </w:r>
          </w:p>
        </w:tc>
        <w:tc>
          <w:tcPr>
            <w:tcW w:w="2310" w:type="dxa"/>
            <w:vAlign w:val="center"/>
            <w:gridSpan w:val="2"/>
          </w:tcPr>
          <w:p>
            <w:pPr/>
            <w:r>
              <w:rPr>
                <w:lang w:val="zh-CN"/>
                <w:rFonts w:ascii="Times New Roman" w:hAnsi="Times New Roman" w:cs="Times New Roman"/>
                <w:sz w:val="20"/>
                <w:szCs w:val="20"/>
                <w:color w:val="000000"/>
              </w:rPr>
              <w:t>23232119950421391X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3、吴昊然</w:t>
            </w:r>
          </w:p>
        </w:tc>
        <w:tc>
          <w:tcPr>
            <w:tcW w:w="2310" w:type="dxa"/>
            <w:vAlign w:val="center"/>
            <w:gridSpan w:val="2"/>
          </w:tcPr>
          <w:p>
            <w:pPr/>
            <w:r>
              <w:rPr>
                <w:lang w:val="zh-CN"/>
                <w:rFonts w:ascii="Times New Roman" w:hAnsi="Times New Roman" w:cs="Times New Roman"/>
                <w:sz w:val="20"/>
                <w:szCs w:val="20"/>
                <w:color w:val="000000"/>
              </w:rPr>
              <w:t>230521201302040036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4、李敏</w:t>
            </w:r>
          </w:p>
        </w:tc>
        <w:tc>
          <w:tcPr>
            <w:tcW w:w="2310" w:type="dxa"/>
            <w:vAlign w:val="center"/>
            <w:gridSpan w:val="2"/>
          </w:tcPr>
          <w:p>
            <w:pPr/>
            <w:r>
              <w:rPr>
                <w:lang w:val="zh-CN"/>
                <w:rFonts w:ascii="Times New Roman" w:hAnsi="Times New Roman" w:cs="Times New Roman"/>
                <w:sz w:val="20"/>
                <w:szCs w:val="20"/>
                <w:color w:val="000000"/>
              </w:rPr>
              <w:t>230521198911152127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5、吴金龙</w:t>
            </w:r>
          </w:p>
        </w:tc>
        <w:tc>
          <w:tcPr>
            <w:tcW w:w="2310" w:type="dxa"/>
            <w:vAlign w:val="center"/>
            <w:gridSpan w:val="2"/>
          </w:tcPr>
          <w:p>
            <w:pPr/>
            <w:r>
              <w:rPr>
                <w:lang w:val="zh-CN"/>
                <w:rFonts w:ascii="Times New Roman" w:hAnsi="Times New Roman" w:cs="Times New Roman"/>
                <w:sz w:val="20"/>
                <w:szCs w:val="20"/>
                <w:color w:val="000000"/>
              </w:rPr>
              <w:t>230521198801242113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6、范丹</w:t>
            </w:r>
          </w:p>
        </w:tc>
        <w:tc>
          <w:tcPr>
            <w:tcW w:w="2310" w:type="dxa"/>
            <w:vAlign w:val="center"/>
            <w:gridSpan w:val="2"/>
          </w:tcPr>
          <w:p>
            <w:pPr/>
            <w:r>
              <w:rPr>
                <w:lang w:val="zh-CN"/>
                <w:rFonts w:ascii="Times New Roman" w:hAnsi="Times New Roman" w:cs="Times New Roman"/>
                <w:sz w:val="20"/>
                <w:szCs w:val="20"/>
                <w:color w:val="000000"/>
              </w:rPr>
              <w:t>232302197105140428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7、张东雪</w:t>
            </w:r>
          </w:p>
        </w:tc>
        <w:tc>
          <w:tcPr>
            <w:tcW w:w="2310" w:type="dxa"/>
            <w:vAlign w:val="center"/>
            <w:gridSpan w:val="2"/>
          </w:tcPr>
          <w:p>
            <w:pPr/>
            <w:r>
              <w:rPr>
                <w:lang w:val="zh-CN"/>
                <w:rFonts w:ascii="Times New Roman" w:hAnsi="Times New Roman" w:cs="Times New Roman"/>
                <w:sz w:val="20"/>
                <w:szCs w:val="20"/>
                <w:color w:val="000000"/>
              </w:rPr>
              <w:t>231181198612080827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8、董美晶子</w:t>
            </w:r>
          </w:p>
        </w:tc>
        <w:tc>
          <w:tcPr>
            <w:tcW w:w="2310" w:type="dxa"/>
            <w:vAlign w:val="center"/>
            <w:gridSpan w:val="2"/>
          </w:tcPr>
          <w:p>
            <w:pPr/>
            <w:r>
              <w:rPr>
                <w:lang w:val="zh-CN"/>
                <w:rFonts w:ascii="Times New Roman" w:hAnsi="Times New Roman" w:cs="Times New Roman"/>
                <w:sz w:val="20"/>
                <w:szCs w:val="20"/>
                <w:color w:val="000000"/>
              </w:rPr>
              <w:t>230206198507300925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9、何美雨佳</w:t>
            </w:r>
          </w:p>
        </w:tc>
        <w:tc>
          <w:tcPr>
            <w:tcW w:w="2310" w:type="dxa"/>
            <w:vAlign w:val="center"/>
            <w:gridSpan w:val="2"/>
          </w:tcPr>
          <w:p>
            <w:pPr/>
            <w:r>
              <w:rPr>
                <w:lang w:val="zh-CN"/>
                <w:rFonts w:ascii="Times New Roman" w:hAnsi="Times New Roman" w:cs="Times New Roman"/>
                <w:sz w:val="20"/>
                <w:szCs w:val="20"/>
                <w:color w:val="000000"/>
              </w:rPr>
              <w:t>230103201404242224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10、赵雨桐</w:t>
            </w:r>
          </w:p>
        </w:tc>
        <w:tc>
          <w:tcPr>
            <w:tcW w:w="2310" w:type="dxa"/>
            <w:vAlign w:val="center"/>
            <w:gridSpan w:val="2"/>
          </w:tcPr>
          <w:p>
            <w:pPr/>
            <w:r>
              <w:rPr>
                <w:lang w:val="zh-CN"/>
                <w:rFonts w:ascii="Times New Roman" w:hAnsi="Times New Roman" w:cs="Times New Roman"/>
                <w:sz w:val="20"/>
                <w:szCs w:val="20"/>
                <w:color w:val="000000"/>
              </w:rPr>
              <w:t>230605201404300244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11、田爽</w:t>
            </w:r>
          </w:p>
        </w:tc>
        <w:tc>
          <w:tcPr>
            <w:tcW w:w="2310" w:type="dxa"/>
            <w:vAlign w:val="center"/>
            <w:gridSpan w:val="2"/>
          </w:tcPr>
          <w:p>
            <w:pPr/>
            <w:r>
              <w:rPr>
                <w:lang w:val="zh-CN"/>
                <w:rFonts w:ascii="Times New Roman" w:hAnsi="Times New Roman" w:cs="Times New Roman"/>
                <w:sz w:val="20"/>
                <w:szCs w:val="20"/>
                <w:color w:val="000000"/>
              </w:rPr>
              <w:t>231081198603300626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12、姜运柱</w:t>
            </w:r>
          </w:p>
        </w:tc>
        <w:tc>
          <w:tcPr>
            <w:tcW w:w="2310" w:type="dxa"/>
            <w:vAlign w:val="center"/>
            <w:gridSpan w:val="2"/>
          </w:tcPr>
          <w:p>
            <w:pPr/>
            <w:r>
              <w:rPr>
                <w:lang w:val="zh-CN"/>
                <w:rFonts w:ascii="Times New Roman" w:hAnsi="Times New Roman" w:cs="Times New Roman"/>
                <w:sz w:val="20"/>
                <w:szCs w:val="20"/>
                <w:color w:val="000000"/>
              </w:rPr>
              <w:t>230102195901112418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13、李淑兰</w:t>
            </w:r>
          </w:p>
        </w:tc>
        <w:tc>
          <w:tcPr>
            <w:tcW w:w="2310" w:type="dxa"/>
            <w:vAlign w:val="center"/>
            <w:gridSpan w:val="2"/>
          </w:tcPr>
          <w:p>
            <w:pPr/>
            <w:r>
              <w:rPr>
                <w:lang w:val="zh-CN"/>
                <w:rFonts w:ascii="Times New Roman" w:hAnsi="Times New Roman" w:cs="Times New Roman"/>
                <w:sz w:val="20"/>
                <w:szCs w:val="20"/>
                <w:color w:val="000000"/>
              </w:rPr>
              <w:t>230105196003091321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14、陈禹翰</w:t>
            </w:r>
          </w:p>
        </w:tc>
        <w:tc>
          <w:tcPr>
            <w:tcW w:w="2310" w:type="dxa"/>
            <w:vAlign w:val="center"/>
            <w:gridSpan w:val="2"/>
          </w:tcPr>
          <w:p>
            <w:pPr/>
            <w:r>
              <w:rPr>
                <w:lang w:val="zh-CN"/>
                <w:rFonts w:ascii="Times New Roman" w:hAnsi="Times New Roman" w:cs="Times New Roman"/>
                <w:sz w:val="20"/>
                <w:szCs w:val="20"/>
                <w:color w:val="000000"/>
              </w:rPr>
              <w:t>230203201404251214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15、曹迪</w:t>
            </w:r>
          </w:p>
        </w:tc>
        <w:tc>
          <w:tcPr>
            <w:tcW w:w="2310" w:type="dxa"/>
            <w:vAlign w:val="center"/>
            <w:gridSpan w:val="2"/>
          </w:tcPr>
          <w:p>
            <w:pPr/>
            <w:r>
              <w:rPr>
                <w:lang w:val="zh-CN"/>
                <w:rFonts w:ascii="Times New Roman" w:hAnsi="Times New Roman" w:cs="Times New Roman"/>
                <w:sz w:val="20"/>
                <w:szCs w:val="20"/>
                <w:color w:val="000000"/>
              </w:rPr>
              <w:t>230203198706291225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16、陈学智</w:t>
            </w:r>
          </w:p>
        </w:tc>
        <w:tc>
          <w:tcPr>
            <w:tcW w:w="2310" w:type="dxa"/>
            <w:vAlign w:val="center"/>
            <w:gridSpan w:val="2"/>
          </w:tcPr>
          <w:p>
            <w:pPr/>
            <w:r>
              <w:rPr>
                <w:lang w:val="zh-CN"/>
                <w:rFonts w:ascii="Times New Roman" w:hAnsi="Times New Roman" w:cs="Times New Roman"/>
                <w:sz w:val="20"/>
                <w:szCs w:val="20"/>
                <w:color w:val="000000"/>
              </w:rPr>
              <w:t>230203198206021835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17、刘艳</w:t>
            </w:r>
          </w:p>
        </w:tc>
        <w:tc>
          <w:tcPr>
            <w:tcW w:w="2310" w:type="dxa"/>
            <w:vAlign w:val="center"/>
            <w:gridSpan w:val="2"/>
          </w:tcPr>
          <w:p>
            <w:pPr/>
            <w:r>
              <w:rPr>
                <w:lang w:val="zh-CN"/>
                <w:rFonts w:ascii="Times New Roman" w:hAnsi="Times New Roman" w:cs="Times New Roman"/>
                <w:sz w:val="20"/>
                <w:szCs w:val="20"/>
                <w:color w:val="000000"/>
              </w:rPr>
              <w:t>230204196207210205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18、马特</w:t>
            </w:r>
          </w:p>
        </w:tc>
        <w:tc>
          <w:tcPr>
            <w:tcW w:w="2310" w:type="dxa"/>
            <w:vAlign w:val="center"/>
            <w:gridSpan w:val="2"/>
          </w:tcPr>
          <w:p>
            <w:pPr/>
            <w:r>
              <w:rPr>
                <w:lang w:val="zh-CN"/>
                <w:rFonts w:ascii="Times New Roman" w:hAnsi="Times New Roman" w:cs="Times New Roman"/>
                <w:sz w:val="20"/>
                <w:szCs w:val="20"/>
                <w:color w:val="000000"/>
              </w:rPr>
              <w:t>230204198904120204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19、高苏扬</w:t>
            </w:r>
          </w:p>
        </w:tc>
        <w:tc>
          <w:tcPr>
            <w:tcW w:w="2310" w:type="dxa"/>
            <w:vAlign w:val="center"/>
            <w:gridSpan w:val="2"/>
          </w:tcPr>
          <w:p>
            <w:pPr/>
            <w:r>
              <w:rPr>
                <w:lang w:val="zh-CN"/>
                <w:rFonts w:ascii="Times New Roman" w:hAnsi="Times New Roman" w:cs="Times New Roman"/>
                <w:sz w:val="20"/>
                <w:szCs w:val="20"/>
                <w:color w:val="000000"/>
              </w:rPr>
              <w:t>230229201401030356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20、王迪</w:t>
            </w:r>
          </w:p>
        </w:tc>
        <w:tc>
          <w:tcPr>
            <w:tcW w:w="2310" w:type="dxa"/>
            <w:vAlign w:val="center"/>
            <w:gridSpan w:val="2"/>
          </w:tcPr>
          <w:p>
            <w:pPr/>
            <w:r>
              <w:rPr>
                <w:lang w:val="zh-CN"/>
                <w:rFonts w:ascii="Times New Roman" w:hAnsi="Times New Roman" w:cs="Times New Roman"/>
                <w:sz w:val="20"/>
                <w:szCs w:val="20"/>
                <w:color w:val="000000"/>
              </w:rPr>
              <w:t>23022919870607032X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21、高申廷</w:t>
            </w:r>
          </w:p>
        </w:tc>
        <w:tc>
          <w:tcPr>
            <w:tcW w:w="2310" w:type="dxa"/>
            <w:vAlign w:val="center"/>
            <w:gridSpan w:val="2"/>
          </w:tcPr>
          <w:p>
            <w:pPr/>
            <w:r>
              <w:rPr>
                <w:lang w:val="zh-CN"/>
                <w:rFonts w:ascii="Times New Roman" w:hAnsi="Times New Roman" w:cs="Times New Roman"/>
                <w:sz w:val="20"/>
                <w:szCs w:val="20"/>
                <w:color w:val="000000"/>
              </w:rPr>
              <w:t>230207198705090216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22、王帅</w:t>
            </w:r>
          </w:p>
        </w:tc>
        <w:tc>
          <w:tcPr>
            <w:tcW w:w="2310" w:type="dxa"/>
            <w:vAlign w:val="center"/>
            <w:gridSpan w:val="2"/>
          </w:tcPr>
          <w:p>
            <w:pPr/>
            <w:r>
              <w:rPr>
                <w:lang w:val="zh-CN"/>
                <w:rFonts w:ascii="Times New Roman" w:hAnsi="Times New Roman" w:cs="Times New Roman"/>
                <w:sz w:val="20"/>
                <w:szCs w:val="20"/>
                <w:color w:val="000000"/>
              </w:rPr>
              <w:t>232324199106010315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23、王彤彤</w:t>
            </w:r>
          </w:p>
        </w:tc>
        <w:tc>
          <w:tcPr>
            <w:tcW w:w="2310" w:type="dxa"/>
            <w:vAlign w:val="center"/>
            <w:gridSpan w:val="2"/>
          </w:tcPr>
          <w:p>
            <w:pPr/>
            <w:r>
              <w:rPr>
                <w:lang w:val="zh-CN"/>
                <w:rFonts w:ascii="Times New Roman" w:hAnsi="Times New Roman" w:cs="Times New Roman"/>
                <w:sz w:val="20"/>
                <w:szCs w:val="20"/>
                <w:color w:val="000000"/>
              </w:rPr>
              <w:t>232324199212180027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24、梁晓坤</w:t>
            </w:r>
          </w:p>
        </w:tc>
        <w:tc>
          <w:tcPr>
            <w:tcW w:w="2310" w:type="dxa"/>
            <w:vAlign w:val="center"/>
            <w:gridSpan w:val="2"/>
          </w:tcPr>
          <w:p>
            <w:pPr/>
            <w:r>
              <w:rPr>
                <w:lang w:val="zh-CN"/>
                <w:rFonts w:ascii="Times New Roman" w:hAnsi="Times New Roman" w:cs="Times New Roman"/>
                <w:sz w:val="20"/>
                <w:szCs w:val="20"/>
                <w:color w:val="000000"/>
              </w:rPr>
              <w:t>23230319711107622X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25、张秀芬</w:t>
            </w:r>
          </w:p>
        </w:tc>
        <w:tc>
          <w:tcPr>
            <w:tcW w:w="2310" w:type="dxa"/>
            <w:vAlign w:val="center"/>
            <w:gridSpan w:val="2"/>
          </w:tcPr>
          <w:p>
            <w:pPr/>
            <w:r>
              <w:rPr>
                <w:lang w:val="zh-CN"/>
                <w:rFonts w:ascii="Times New Roman" w:hAnsi="Times New Roman" w:cs="Times New Roman"/>
                <w:sz w:val="20"/>
                <w:szCs w:val="20"/>
                <w:color w:val="000000"/>
              </w:rPr>
              <w:t>232324197109240029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26、王树岐</w:t>
            </w:r>
          </w:p>
        </w:tc>
        <w:tc>
          <w:tcPr>
            <w:tcW w:w="2310" w:type="dxa"/>
            <w:vAlign w:val="center"/>
            <w:gridSpan w:val="2"/>
          </w:tcPr>
          <w:p>
            <w:pPr/>
            <w:r>
              <w:rPr>
                <w:lang w:val="zh-CN"/>
                <w:rFonts w:ascii="Times New Roman" w:hAnsi="Times New Roman" w:cs="Times New Roman"/>
                <w:sz w:val="20"/>
                <w:szCs w:val="20"/>
                <w:color w:val="000000"/>
              </w:rPr>
              <w:t>232324197003070017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27、赵丹</w:t>
            </w:r>
          </w:p>
        </w:tc>
        <w:tc>
          <w:tcPr>
            <w:tcW w:w="2310" w:type="dxa"/>
            <w:vAlign w:val="center"/>
            <w:gridSpan w:val="2"/>
          </w:tcPr>
          <w:p>
            <w:pPr/>
            <w:r>
              <w:rPr>
                <w:lang w:val="zh-CN"/>
                <w:rFonts w:ascii="Times New Roman" w:hAnsi="Times New Roman" w:cs="Times New Roman"/>
                <w:sz w:val="20"/>
                <w:szCs w:val="20"/>
                <w:color w:val="000000"/>
              </w:rPr>
              <w:t>230182198204090706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28、刘恋</w:t>
            </w:r>
          </w:p>
        </w:tc>
        <w:tc>
          <w:tcPr>
            <w:tcW w:w="2310" w:type="dxa"/>
            <w:vAlign w:val="center"/>
            <w:gridSpan w:val="2"/>
          </w:tcPr>
          <w:p>
            <w:pPr/>
            <w:r>
              <w:rPr>
                <w:lang w:val="zh-CN"/>
                <w:rFonts w:ascii="Times New Roman" w:hAnsi="Times New Roman" w:cs="Times New Roman"/>
                <w:sz w:val="20"/>
                <w:szCs w:val="20"/>
                <w:color w:val="000000"/>
              </w:rPr>
              <w:t>230182201204170823</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24</w:t>
            </w:r>
          </w:p>
        </w:tc>
        <w:tc>
          <w:tcPr>
            <w:tcW w:w="2310" w:type="dxa"/>
          </w:tcPr>
          <w:p>
            <w:pPr/>
            <w:r>
              <w:rPr>
                <w:lang w:val="zh-CN"/>
                <w:rFonts w:ascii="Times New Roman" w:hAnsi="Times New Roman" w:cs="Times New Roman"/>
                <w:sz w:val="20"/>
                <w:szCs w:val="20"/>
                <w:color w:val="000000"/>
              </w:rPr>
              <w:t>1700.00</w:t>
            </w:r>
          </w:p>
        </w:tc>
        <w:tc>
          <w:tcPr>
            <w:tcW w:w="2310" w:type="dxa"/>
          </w:tcPr>
          <w:p>
            <w:pPr/>
            <w:r>
              <w:rPr>
                <w:lang w:val="zh-CN"/>
                <w:rFonts w:ascii="Times New Roman" w:hAnsi="Times New Roman" w:cs="Times New Roman"/>
                <w:sz w:val="20"/>
                <w:szCs w:val="20"/>
                <w:color w:val="000000"/>
              </w:rPr>
              <w:t>40800.00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1100.00</w:t>
            </w:r>
          </w:p>
        </w:tc>
        <w:tc>
          <w:tcPr>
            <w:tcW w:w="2310" w:type="dxa"/>
          </w:tcPr>
          <w:p>
            <w:pPr/>
            <w:r>
              <w:rPr>
                <w:lang w:val="zh-CN"/>
                <w:rFonts w:ascii="Times New Roman" w:hAnsi="Times New Roman" w:cs="Times New Roman"/>
                <w:sz w:val="20"/>
                <w:szCs w:val="20"/>
                <w:color w:val="000000"/>
              </w:rPr>
              <w:t>3300.00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400.00</w:t>
            </w:r>
          </w:p>
        </w:tc>
        <w:tc>
          <w:tcPr>
            <w:tcW w:w="2310" w:type="dxa"/>
          </w:tcPr>
          <w:p>
            <w:pPr/>
            <w:r>
              <w:rPr>
                <w:lang w:val="zh-CN"/>
                <w:rFonts w:ascii="Times New Roman" w:hAnsi="Times New Roman" w:cs="Times New Roman"/>
                <w:sz w:val="20"/>
                <w:szCs w:val="20"/>
                <w:color w:val="000000"/>
              </w:rPr>
              <w:t>400.00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总金额：肆万肆仟伍佰元整</w:t>
            </w:r>
          </w:p>
        </w:tc>
        <w:tc>
          <w:tcPr>
            <w:tcW w:w="2310" w:type="dxa"/>
            <w:textDirection w:val="right"/>
            <w:gridSpan w:val="3"/>
          </w:tcPr>
          <w:p>
            <w:pPr/>
            <w:r>
              <w:rPr>
                <w:lang w:val="zh-CN"/>
                <w:rFonts w:ascii="Times New Roman" w:hAnsi="Times New Roman" w:cs="Times New Roman"/>
                <w:b/>
                <w:color w:val="FF0000"/>
              </w:rPr>
              <w:t>44500.00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招商银行杭州分行</w:t>
            </w:r>
          </w:p>
        </w:tc>
        <w:tc>
          <w:tcPr>
            <w:tcW w:w="2310" w:type="dxa"/>
            <w:gridSpan w:val="2"/>
          </w:tcPr>
          <w:p>
            <w:pPr/>
            <w:r>
              <w:rPr>
                <w:lang w:val="zh-CN"/>
                <w:rFonts w:ascii="Times New Roman" w:hAnsi="Times New Roman" w:cs="Times New Roman"/>
                <w:sz w:val="20"/>
                <w:szCs w:val="20"/>
                <w:color w:val="000000"/>
              </w:rPr>
              <w:t>王扬</w:t>
            </w:r>
          </w:p>
        </w:tc>
        <w:tc>
          <w:tcPr>
            <w:tcW w:w="2310" w:type="dxa"/>
            <w:gridSpan w:val="3"/>
          </w:tcPr>
          <w:p>
            <w:pPr/>
            <w:r>
              <w:rPr>
                <w:lang w:val="zh-CN"/>
                <w:rFonts w:ascii="Times New Roman" w:hAnsi="Times New Roman" w:cs="Times New Roman"/>
                <w:sz w:val="20"/>
                <w:szCs w:val="20"/>
                <w:color w:val="000000"/>
              </w:rPr>
              <w:t>6231 3657 1255 7888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2023/10/02</w:t>
            </w:r>
          </w:p>
        </w:tc>
        <w:tc>
          <w:tcPr>
            <w:tcW w:w="2310" w:type="dxa"/>
            <w:gridSpan w:val="7"/>
          </w:tcPr>
          <w:p>
            <w:pPr/>
            <w:r>
              <w:rPr>
                <w:lang w:val="zh-CN"/>
                <w:rFonts w:ascii="Times New Roman" w:hAnsi="Times New Roman" w:cs="Times New Roman"/>
                <w:b/>
                <w:color w:val="000000"/>
              </w:rPr>
              <w:t>哈尔滨--上海(飞机)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★各位贵宾于指定的时间哈尔滨机场二楼问讯处集合。前往上海，接团后入住酒店休息。住：上海指定四星未挂牌或携程三钻酒店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早餐：不含；午餐：不含；晚餐：不含；住宿：上海</w:t>
            </w:r>
          </w:p>
        </w:tc>
      </w:tr>
      <w:tr>
        <w:tc>
          <w:tcPr>
            <w:tcW w:w="2310" w:type="dxa"/>
            <w:vAlign w:val="center"/>
            <w:vMerge w:val="restart"/>
          </w:tcPr>
          <w:p>
            <w:pPr/>
            <w:r>
              <w:rPr>
                <w:lang w:val="zh-CN"/>
                <w:rFonts w:ascii="Times New Roman" w:hAnsi="Times New Roman" w:cs="Times New Roman"/>
                <w:sz w:val="20"/>
                <w:szCs w:val="20"/>
                <w:color w:val="000000"/>
              </w:rPr>
              <w:t>2023/10/03</w:t>
            </w:r>
          </w:p>
        </w:tc>
        <w:tc>
          <w:tcPr>
            <w:tcW w:w="2310" w:type="dxa"/>
            <w:gridSpan w:val="7"/>
          </w:tcPr>
          <w:p>
            <w:pPr/>
            <w:r>
              <w:rPr>
                <w:lang w:val="zh-CN"/>
                <w:rFonts w:ascii="Times New Roman" w:hAnsi="Times New Roman" w:cs="Times New Roman"/>
                <w:b/>
                <w:color w:val="000000"/>
              </w:rPr>
              <w:t>上海→南京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南京，赠送游览瞻仰国父陵园【5A中山陵】（游览时间约1.5H），周一中山陵墓室闭馆，游客可在博爱坊附近自由活动），中山陵地处于南京市东郊紫金山南麓，是中华民国国父、中国民主革命先行者孙中山的陵墓。被誉为“中国近代建筑史上第一陵”。（周一祭堂和墓室关闭进行日常维护，不能正常参观,平时实行预约制，旺季预约人满无法入园，不含环保车自愿选择，如旺季预约不上改为游览南京大报恩寺或雨花台参观，当地导游依据情况而定，旅游旺季不接受因此造成的投诉敬请谅解）★赠送，闲逛【5A夫子庙·秦淮风光带】（游览时间不少于1H）夫子庙建筑群两侧坐落着两个商品市场，街上商铺云集，商品种类繁多，形成了服装商场、古玩字画、花鸟虫鱼为特色的集贸市场群，显示出文化的商业性价值，具有浓郁的旅游、休闲、购物为一体的商业氛围。温馨提示：十一假期堵车，请提前准备小吃零食在车上食用。如午餐无法按时用餐按餐标退餐费。住：南京指定四星未挂牌或携程三钻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早餐：含；午餐：含；晚餐：含；住宿：南京</w:t>
            </w:r>
          </w:p>
        </w:tc>
      </w:tr>
      <w:tr>
        <w:tc>
          <w:tcPr>
            <w:tcW w:w="2310" w:type="dxa"/>
            <w:vAlign w:val="center"/>
            <w:vMerge w:val="restart"/>
          </w:tcPr>
          <w:p>
            <w:pPr/>
            <w:r>
              <w:rPr>
                <w:lang w:val="zh-CN"/>
                <w:rFonts w:ascii="Times New Roman" w:hAnsi="Times New Roman" w:cs="Times New Roman"/>
                <w:sz w:val="20"/>
                <w:szCs w:val="20"/>
                <w:color w:val="000000"/>
              </w:rPr>
              <w:t>2023/10/04</w:t>
            </w:r>
          </w:p>
        </w:tc>
        <w:tc>
          <w:tcPr>
            <w:tcW w:w="2310" w:type="dxa"/>
            <w:gridSpan w:val="7"/>
          </w:tcPr>
          <w:p>
            <w:pPr/>
            <w:r>
              <w:rPr>
                <w:lang w:val="zh-CN"/>
                <w:rFonts w:ascii="Times New Roman" w:hAnsi="Times New Roman" w:cs="Times New Roman"/>
                <w:b/>
                <w:color w:val="000000"/>
              </w:rPr>
              <w:t>南京→无锡→苏州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金陵建筑奇迹，金陵八景之一的【4A牛首山】（游览时间约2H）牛首山是中国佛教名山，文化底蕴深厚，是佛教牛头禅宗的开教处和发祥地。山周围有感应泉、虎跑泉、白龟池、兜率岩、文殊洞、辟支洞、含虚阁、地涌泉、饮马池等自然景观，及宏觉寺、弘觉寺塔、郑和墓和抗金故垒等人文景观。牛首山风景宜人，每岁届春金陵百姓倾城出游，故有“春牛首”之称。清乾隆年间“牛首烟岚”列入金陵四十八景中。佛顶宫以佛祖顶骨舍利供奉为主题，外部分为大穹顶和小穹顶两个部分，寓意外供养和内供养。大穹顶形如佛祖袈裟覆盖在小穹顶之上，象征着佛祖的无量加持；小穹顶下部为莲花宝座造型，上部为摩尼宝珠造型，上下结合形成“莲花托珍宝”的神圣意象。（不含环保车25元/人建议乘坐）★车赴无锡（车程约2H），“太湖佳绝处、毕竟在鼋头”【5A鼋头渚+赠送船游太湖】（游览时间不少于1.5H）游览太湖最佳赏景处：具区胜景、鼋渚春涛、万浪卷雪、鹿顶迎辉、充山隐秀等景区。（太湖游船为景区门票赠送项目，如因天气或景区原因不能乘坐不退费用哦，鼋头渚内旅游大巴车禁止通行，需换景区内环保车40元/人敬请自理）★车赴苏州，【漫步七里山塘街】（游览时间不少于1H）游姑苏第一名街，走进有着“老苏州的缩影、吴文化的窗口”号称的漫步在近1200年历史的步行街上，欣赏小桥流水人家，一河一街、粉墙黛瓦，小桥人家，体味山塘古街“江南水弄堂”的韵味。入住酒店住：苏州指定五星未挂牌或携程四钻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早餐：含；午餐：含；晚餐：含；住宿：苏州</w:t>
            </w:r>
          </w:p>
        </w:tc>
      </w:tr>
      <w:tr>
        <w:tc>
          <w:tcPr>
            <w:tcW w:w="2310" w:type="dxa"/>
            <w:vAlign w:val="center"/>
            <w:vMerge w:val="restart"/>
          </w:tcPr>
          <w:p>
            <w:pPr/>
            <w:r>
              <w:rPr>
                <w:lang w:val="zh-CN"/>
                <w:rFonts w:ascii="Times New Roman" w:hAnsi="Times New Roman" w:cs="Times New Roman"/>
                <w:sz w:val="20"/>
                <w:szCs w:val="20"/>
                <w:color w:val="000000"/>
              </w:rPr>
              <w:t>2023/10/05</w:t>
            </w:r>
          </w:p>
        </w:tc>
        <w:tc>
          <w:tcPr>
            <w:tcW w:w="2310" w:type="dxa"/>
            <w:gridSpan w:val="7"/>
          </w:tcPr>
          <w:p>
            <w:pPr/>
            <w:r>
              <w:rPr>
                <w:lang w:val="zh-CN"/>
                <w:rFonts w:ascii="Times New Roman" w:hAnsi="Times New Roman" w:cs="Times New Roman"/>
                <w:b/>
                <w:color w:val="000000"/>
              </w:rPr>
              <w:t>苏州--杭州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素有“东方小威尼斯”美称的古镇-同里；游览：【同里古镇5A】（游览不少于1H）同里自宋代建镇距今已有一千多年历史。镇内自成水网，家家临水，户户通舟”同里镇舟，游著名水园-【退思园】、江南特色婚俗馆-崇本堂、嘉荫堂等景点，领略独特水乡风情。★车赴桐乡，游览【5A级乌镇东栅景区】（游览时间不少于1.5H）以其原汁原味的水乡风貌和深厚的文化底蕴，一跃成为中国著名的古镇旅游胜地。景区由东栅老街、观前街、河边水阁、廊棚组成，游览包括翰林第、古戏台、蓝印花布染坊、乌镇民俗风情馆、江南百床馆等二十多个景点。★赴杭州（车程约1.5小时），★游【5A宋城景区&amp;宋城千古情】（游览时间不少于4H，含表演约1H）市井街从宋皇宫开始的整条市井街是最能感受到宋代市井生活气息的地方，从王员外家一路开始的打铁铺、客家糍粑、榨油坊、胭脂巷等这些传统特色的临街店铺，让过去的市井生活场景骤然还原在你眼前。街上极有存在感的衙门，让穿越的感觉也变得更加确切。观看【宋城千古情表演】“给我一天，还你千年”大型歌舞表演，是杭州宋城的灵魂，用最先进声、光、电的科技手段和舞台机械、以出其不意的呈现方式演艺了良渚古人的艰辛，宋皇宫的辉煌，岳家军的惨烈，梁祝和白蛇许仙的千古绝唱，极具视觉体验和心灵震撼，被誉为“世界三大名秀”之一。温馨提示：宋城表演为普通座宾席不指定位置区域景区随机出票，一经出票无法退换。后入住酒店休息。宿：杭州指定四星未挂牌酒店或携程三钻酒店温馨提示：杭州亚运会期间酒店若遇政府征用或管制，酒店可能会调整到杭州周边其它城市入住，敬请理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早餐：含；午餐：含；晚餐：含；住宿：杭州</w:t>
            </w:r>
          </w:p>
        </w:tc>
      </w:tr>
      <w:tr>
        <w:tc>
          <w:tcPr>
            <w:tcW w:w="2310" w:type="dxa"/>
            <w:vAlign w:val="center"/>
            <w:vMerge w:val="restart"/>
          </w:tcPr>
          <w:p>
            <w:pPr/>
            <w:r>
              <w:rPr>
                <w:lang w:val="zh-CN"/>
                <w:rFonts w:ascii="Times New Roman" w:hAnsi="Times New Roman" w:cs="Times New Roman"/>
                <w:sz w:val="20"/>
                <w:szCs w:val="20"/>
                <w:color w:val="000000"/>
              </w:rPr>
              <w:t>2023/10/06</w:t>
            </w:r>
          </w:p>
        </w:tc>
        <w:tc>
          <w:tcPr>
            <w:tcW w:w="2310" w:type="dxa"/>
            <w:gridSpan w:val="7"/>
          </w:tcPr>
          <w:p>
            <w:pPr/>
            <w:r>
              <w:rPr>
                <w:lang w:val="zh-CN"/>
                <w:rFonts w:ascii="Times New Roman" w:hAnsi="Times New Roman" w:cs="Times New Roman"/>
                <w:b/>
                <w:color w:val="000000"/>
              </w:rPr>
              <w:t xml:space="preserve">杭州→上海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5A西湖风景区】（游览时间不少于1.5H）"上有天堂，下有苏杭"，杭州因美丽的西湖而闻名于世。西湖风景区的美景不仅春天独有，夏日里接天莲碧的荷花，秋夜中浸透月光的三潭，冬雪后疏影横斜的红梅，更有那烟柳笼纱中的莺啼，细雨迷蒙中的楼台------无论你在何时来，都会领略到不同寻常的风采（不含西湖游船55元/人自理）温馨提醒:涉及黄金周，节假日，周末，西湖风景区大巴车禁止进入，客人需要换乘景区公交车自理20/人。★车赴上海（车程约3小时）船游上海母亲河-【船游黄浦江】（游览约1H）欣赏上海乃至中国百年近代史缩影，外滩边上各式建筑，观东方明珠、金茂大厦、环球金融中心外景，使人身处两个不同世纪的交融中，感受魅力上海的国际大都市情调。★游览上海之最【登上海东方明珠电视塔中球】（游览时间不少于1H）乘电梯上东方明珠二球，360度俯瞰都市上海美景，两边的两座大桥，如两条巨龙，腾飞于黄浦江上，与中间的东方明珠一起，巧妙的组合成一幅二龙戏珠的巨幅画面。宿：上海四星（未挂牌）酒店或携程三钻酒店温馨提示：如因天气或客流量暴增排队堵车无票排队等不可抗力因素导致不能游览，按旅行社同业底价退费，不接受因此造成的投诉，敬请谅解，如因排队堵车不可抗力因素造成游览时间缩短，旅行社不承担责任不接受因此造成的投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早餐：含；午餐：含；晚餐：含；住宿：上海</w:t>
            </w:r>
          </w:p>
        </w:tc>
      </w:tr>
      <w:tr>
        <w:tc>
          <w:tcPr>
            <w:tcW w:w="2310" w:type="dxa"/>
            <w:vAlign w:val="center"/>
            <w:vMerge w:val="restart"/>
          </w:tcPr>
          <w:p>
            <w:pPr/>
            <w:r>
              <w:rPr>
                <w:lang w:val="zh-CN"/>
                <w:rFonts w:ascii="Times New Roman" w:hAnsi="Times New Roman" w:cs="Times New Roman"/>
                <w:sz w:val="20"/>
                <w:szCs w:val="20"/>
                <w:color w:val="000000"/>
              </w:rPr>
              <w:t>2023/10/07</w:t>
            </w:r>
          </w:p>
        </w:tc>
        <w:tc>
          <w:tcPr>
            <w:tcW w:w="2310" w:type="dxa"/>
            <w:gridSpan w:val="7"/>
          </w:tcPr>
          <w:p>
            <w:pPr/>
            <w:r>
              <w:rPr>
                <w:lang w:val="zh-CN"/>
                <w:rFonts w:ascii="Times New Roman" w:hAnsi="Times New Roman" w:cs="Times New Roman"/>
                <w:b/>
                <w:color w:val="000000"/>
              </w:rPr>
              <w:t>上海-机场→哈尔滨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★早餐后，游览被誉为“万国博物馆”的【上海外滩+南京路】（游览时间不少于1H）观黄浦公园、上海人民英雄纪念塔、黄浦江、陈毅塑像等；根据航班时间送往机场，返回温馨的家（赠送景点不去不退）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交通】当地空调旅游大巴（保证一人一座，15人以下用17座旅游车不含行李箱）【住宿】全程3晚四星（未挂牌）酒店+1晚五星（未挂牌），全程酒店赠送自助早餐不吃不退。根据旅局规定，旨在倡导绿色出行，旅游住宿业将不再主动提供牙刷、梳子、浴擦、剃须刀、指甲锉、鞋擦这些一次性日用品、不便之处敬请谅解！（华东区域多为是经济一线城市，城市规模较大，旅行社团队用房一般在郊区，距离市中心较远，因此造成的不便还请谅解，感谢理解）【用餐】全程5早8正其中一餐升级杭州特色御茶宴（餐标：20元/人.不含酒水饮料。由于团队提前预定，个人原因不吃不退，敬请理解，华东饮食清淡可自备咸菜辣酱辅助）【门票】含景区首道大门票。赠送景点不去费用不退。【儿童】儿童游客只含车位、正座、及儿童正餐，不含酒店早餐；其它产生费用自理！【导游】优秀专业专职导游服务（地接导游）【购物】0购物（餐厅内景区内自设场所不算做旅游购物店安排）【说明】由于个人征信原因无法购买机票，费用全损，将不退任何费用敬请谅解。【备注】如遇天气原因或其他不可抗力因素导致航班延误取消产生的费用客人自理。温馨提示：如因天气或客流量暴增排队堵车无票排队等不可抗力因素导致不能游览，按旅行社同业底价退费，不接受因此造成的投诉，敬请谅解，如因排队堵车不可抗力因素造成游览时间缩短，旅行社不承担责任不接受因此造成的投诉。</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王锐</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韩梦瑶</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2023</w:t>
                  </w:r>
                  <w:r w:rsidR="00192D3B">
                    <w:rPr>
                      <w:rFonts w:asciiTheme="minorEastAsia" w:hAnsiTheme="minorEastAsia" w:hint="eastAsia"/>
                    </w:rPr>
                    <w:t xml:space="preserve">年 </w:t>
                  </w:r>
                  <w:r>
                    <w:rPr>
                      <w:rFonts w:asciiTheme="minorEastAsia" w:hAnsiTheme="minorEastAsia"/>
                    </w:rPr>
                    <w:t>9</w:t>
                  </w:r>
                  <w:r w:rsidR="00192D3B">
                    <w:rPr>
                      <w:rFonts w:asciiTheme="minorEastAsia" w:hAnsiTheme="minorEastAsia" w:hint="eastAsia"/>
                    </w:rPr>
                    <w:t xml:space="preserve">月 </w:t>
                  </w:r>
                  <w:r>
                    <w:rPr>
                      <w:rFonts w:asciiTheme="minorEastAsia" w:hAnsiTheme="minorEastAsia" w:hint="eastAsia"/>
                    </w:rPr>
                    <w:t>27</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2023/9/27 13:45:49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