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ZLY06TR250212A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弥勒+广西双动6日游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1、刀惠英</w:t>
            </w:r>
          </w:p>
        </w:tc>
        <w:tc>
          <w:tcPr>
            <w:tcW w:w="2310" w:type="dxa"/>
            <w:vAlign w:val="center"/>
            <w:gridSpan w:val="2"/>
          </w:tcPr>
          <w:p>
            <w:pPr/>
            <w:r>
              <w:rPr>
                <w:lang w:val="zh-CN"/>
                <w:rFonts w:ascii="Times New Roman" w:hAnsi="Times New Roman" w:cs="Times New Roman"/>
                <w:sz w:val="20"/>
                <w:szCs w:val="20"/>
                <w:color w:val="000000"/>
              </w:rPr>
              <w:t>53272819561223002Ｘ</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2、马丽娅</w:t>
            </w:r>
          </w:p>
        </w:tc>
        <w:tc>
          <w:tcPr>
            <w:tcW w:w="2310" w:type="dxa"/>
            <w:vAlign w:val="center"/>
            <w:gridSpan w:val="2"/>
          </w:tcPr>
          <w:p>
            <w:pPr/>
            <w:r>
              <w:rPr>
                <w:lang w:val="zh-CN"/>
                <w:rFonts w:ascii="Times New Roman" w:hAnsi="Times New Roman" w:cs="Times New Roman"/>
                <w:sz w:val="20"/>
                <w:szCs w:val="20"/>
                <w:color w:val="000000"/>
              </w:rPr>
              <w:t>532728195710240029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3、杨顺英</w:t>
            </w:r>
          </w:p>
        </w:tc>
        <w:tc>
          <w:tcPr>
            <w:tcW w:w="2310" w:type="dxa"/>
            <w:vAlign w:val="center"/>
            <w:gridSpan w:val="2"/>
          </w:tcPr>
          <w:p>
            <w:pPr/>
            <w:r>
              <w:rPr>
                <w:lang w:val="zh-CN"/>
                <w:rFonts w:ascii="Times New Roman" w:hAnsi="Times New Roman" w:cs="Times New Roman"/>
                <w:sz w:val="20"/>
                <w:szCs w:val="20"/>
                <w:color w:val="000000"/>
              </w:rPr>
              <w:t>532728195808230021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4、叶保</w:t>
            </w:r>
          </w:p>
        </w:tc>
        <w:tc>
          <w:tcPr>
            <w:tcW w:w="2310" w:type="dxa"/>
            <w:vAlign w:val="center"/>
            <w:gridSpan w:val="2"/>
          </w:tcPr>
          <w:p>
            <w:pPr/>
            <w:r>
              <w:rPr>
                <w:lang w:val="zh-CN"/>
                <w:rFonts w:ascii="Times New Roman" w:hAnsi="Times New Roman" w:cs="Times New Roman"/>
                <w:sz w:val="20"/>
                <w:szCs w:val="20"/>
                <w:color w:val="000000"/>
              </w:rPr>
              <w:t>532728195802100023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5、刀莲仙</w:t>
            </w:r>
          </w:p>
        </w:tc>
        <w:tc>
          <w:tcPr>
            <w:tcW w:w="2310" w:type="dxa"/>
            <w:vAlign w:val="center"/>
            <w:gridSpan w:val="2"/>
          </w:tcPr>
          <w:p>
            <w:pPr/>
            <w:r>
              <w:rPr>
                <w:lang w:val="zh-CN"/>
                <w:rFonts w:ascii="Times New Roman" w:hAnsi="Times New Roman" w:cs="Times New Roman"/>
                <w:sz w:val="20"/>
                <w:szCs w:val="20"/>
                <w:color w:val="000000"/>
              </w:rPr>
              <w:t>532728195710141522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6、宋伟</w:t>
            </w:r>
          </w:p>
        </w:tc>
        <w:tc>
          <w:tcPr>
            <w:tcW w:w="2310" w:type="dxa"/>
            <w:vAlign w:val="center"/>
            <w:gridSpan w:val="2"/>
          </w:tcPr>
          <w:p>
            <w:pPr/>
            <w:r>
              <w:rPr>
                <w:lang w:val="zh-CN"/>
                <w:rFonts w:ascii="Times New Roman" w:hAnsi="Times New Roman" w:cs="Times New Roman"/>
                <w:sz w:val="20"/>
                <w:szCs w:val="20"/>
                <w:color w:val="000000"/>
              </w:rPr>
              <w:t>532728195802120024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7、丁学琼</w:t>
            </w:r>
          </w:p>
        </w:tc>
        <w:tc>
          <w:tcPr>
            <w:tcW w:w="2310" w:type="dxa"/>
            <w:vAlign w:val="center"/>
            <w:gridSpan w:val="2"/>
          </w:tcPr>
          <w:p>
            <w:pPr/>
            <w:r>
              <w:rPr>
                <w:lang w:val="zh-CN"/>
                <w:rFonts w:ascii="Times New Roman" w:hAnsi="Times New Roman" w:cs="Times New Roman"/>
                <w:sz w:val="20"/>
                <w:szCs w:val="20"/>
                <w:color w:val="000000"/>
              </w:rPr>
              <w:t>532728195805110024</w:t>
            </w:r>
          </w:p>
        </w:tc>
        <w:tc>
          <w:tcPr>
            <w:tcW w:w="2310" w:type="dxa"/>
            <w:vAlign w:val="center"/>
          </w:tcPr>
          <w:p>
            <w:pPr/>
            <w:r>
              <w:rPr>
                <w:lang w:val="zh-CN"/>
                <w:rFonts w:ascii="Times New Roman" w:hAnsi="Times New Roman" w:cs="Times New Roman"/>
                <w:sz w:val="20"/>
                <w:szCs w:val="20"/>
                <w:color w:val="000000"/>
              </w:rPr>
              <w:t>13578196633</w:t>
            </w:r>
          </w:p>
        </w:tc>
        <w:tc>
          <w:tcPr>
            <w:tcW w:w="2310" w:type="dxa"/>
            <w:vAlign w:val="center"/>
          </w:tcPr>
          <w:p>
            <w:pPr/>
            <w:r>
              <w:rPr>
                <w:lang w:val="zh-CN"/>
                <w:rFonts w:ascii="Times New Roman" w:hAnsi="Times New Roman" w:cs="Times New Roman"/>
                <w:sz w:val="20"/>
                <w:szCs w:val="20"/>
                <w:color w:val="000000"/>
              </w:rPr>
              <w:t>8、石宏建</w:t>
            </w:r>
          </w:p>
        </w:tc>
        <w:tc>
          <w:tcPr>
            <w:tcW w:w="2310" w:type="dxa"/>
            <w:vAlign w:val="center"/>
            <w:gridSpan w:val="2"/>
          </w:tcPr>
          <w:p>
            <w:pPr/>
            <w:r>
              <w:rPr>
                <w:lang w:val="zh-CN"/>
                <w:rFonts w:ascii="Times New Roman" w:hAnsi="Times New Roman" w:cs="Times New Roman"/>
                <w:sz w:val="20"/>
                <w:szCs w:val="20"/>
                <w:color w:val="000000"/>
              </w:rPr>
              <w:t>532721195610280010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9、刘建平</w:t>
            </w:r>
          </w:p>
        </w:tc>
        <w:tc>
          <w:tcPr>
            <w:tcW w:w="2310" w:type="dxa"/>
            <w:vAlign w:val="center"/>
            <w:gridSpan w:val="2"/>
          </w:tcPr>
          <w:p>
            <w:pPr/>
            <w:r>
              <w:rPr>
                <w:lang w:val="zh-CN"/>
                <w:rFonts w:ascii="Times New Roman" w:hAnsi="Times New Roman" w:cs="Times New Roman"/>
                <w:sz w:val="20"/>
                <w:szCs w:val="20"/>
                <w:color w:val="000000"/>
              </w:rPr>
              <w:t>532721195802232419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10、彭国光</w:t>
            </w:r>
          </w:p>
        </w:tc>
        <w:tc>
          <w:tcPr>
            <w:tcW w:w="2310" w:type="dxa"/>
            <w:vAlign w:val="center"/>
            <w:gridSpan w:val="2"/>
          </w:tcPr>
          <w:p>
            <w:pPr/>
            <w:r>
              <w:rPr>
                <w:lang w:val="zh-CN"/>
                <w:rFonts w:ascii="Times New Roman" w:hAnsi="Times New Roman" w:cs="Times New Roman"/>
                <w:sz w:val="20"/>
                <w:szCs w:val="20"/>
                <w:color w:val="000000"/>
              </w:rPr>
              <w:t>532721195804210010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11、李素萍</w:t>
            </w:r>
          </w:p>
        </w:tc>
        <w:tc>
          <w:tcPr>
            <w:tcW w:w="2310" w:type="dxa"/>
            <w:vAlign w:val="center"/>
            <w:gridSpan w:val="2"/>
          </w:tcPr>
          <w:p>
            <w:pPr/>
            <w:r>
              <w:rPr>
                <w:lang w:val="zh-CN"/>
                <w:rFonts w:ascii="Times New Roman" w:hAnsi="Times New Roman" w:cs="Times New Roman"/>
                <w:sz w:val="20"/>
                <w:szCs w:val="20"/>
                <w:color w:val="000000"/>
              </w:rPr>
              <w:t>53272119580228004X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12、朱元清</w:t>
            </w:r>
          </w:p>
        </w:tc>
        <w:tc>
          <w:tcPr>
            <w:tcW w:w="2310" w:type="dxa"/>
            <w:vAlign w:val="center"/>
            <w:gridSpan w:val="2"/>
          </w:tcPr>
          <w:p>
            <w:pPr/>
            <w:r>
              <w:rPr>
                <w:lang w:val="zh-CN"/>
                <w:rFonts w:ascii="Times New Roman" w:hAnsi="Times New Roman" w:cs="Times New Roman"/>
                <w:sz w:val="20"/>
                <w:szCs w:val="20"/>
                <w:color w:val="000000"/>
              </w:rPr>
              <w:t>532721195510040036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13、李惠仙</w:t>
            </w:r>
          </w:p>
        </w:tc>
        <w:tc>
          <w:tcPr>
            <w:tcW w:w="2310" w:type="dxa"/>
            <w:vAlign w:val="center"/>
            <w:gridSpan w:val="2"/>
          </w:tcPr>
          <w:p>
            <w:pPr/>
            <w:r>
              <w:rPr>
                <w:lang w:val="zh-CN"/>
                <w:rFonts w:ascii="Times New Roman" w:hAnsi="Times New Roman" w:cs="Times New Roman"/>
                <w:sz w:val="20"/>
                <w:szCs w:val="20"/>
                <w:color w:val="000000"/>
              </w:rPr>
              <w:t>53272819530101002x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14、杨开明</w:t>
            </w:r>
          </w:p>
        </w:tc>
        <w:tc>
          <w:tcPr>
            <w:tcW w:w="2310" w:type="dxa"/>
            <w:vAlign w:val="center"/>
            <w:gridSpan w:val="2"/>
          </w:tcPr>
          <w:p>
            <w:pPr/>
            <w:r>
              <w:rPr>
                <w:lang w:val="zh-CN"/>
                <w:rFonts w:ascii="Times New Roman" w:hAnsi="Times New Roman" w:cs="Times New Roman"/>
                <w:sz w:val="20"/>
                <w:szCs w:val="20"/>
                <w:color w:val="000000"/>
              </w:rPr>
              <w:t>532728195801190012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15、王新林</w:t>
            </w:r>
          </w:p>
        </w:tc>
        <w:tc>
          <w:tcPr>
            <w:tcW w:w="2310" w:type="dxa"/>
            <w:vAlign w:val="center"/>
            <w:gridSpan w:val="2"/>
          </w:tcPr>
          <w:p>
            <w:pPr/>
            <w:r>
              <w:rPr>
                <w:lang w:val="zh-CN"/>
                <w:rFonts w:ascii="Times New Roman" w:hAnsi="Times New Roman" w:cs="Times New Roman"/>
                <w:sz w:val="20"/>
                <w:szCs w:val="20"/>
                <w:color w:val="000000"/>
              </w:rPr>
              <w:t>532728195412280014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16、邹凤菊</w:t>
            </w:r>
          </w:p>
        </w:tc>
        <w:tc>
          <w:tcPr>
            <w:tcW w:w="2310" w:type="dxa"/>
            <w:vAlign w:val="center"/>
            <w:gridSpan w:val="2"/>
          </w:tcPr>
          <w:p>
            <w:pPr/>
            <w:r>
              <w:rPr>
                <w:lang w:val="zh-CN"/>
                <w:rFonts w:ascii="Times New Roman" w:hAnsi="Times New Roman" w:cs="Times New Roman"/>
                <w:sz w:val="20"/>
                <w:szCs w:val="20"/>
                <w:color w:val="000000"/>
              </w:rPr>
              <w:t>532724196906062120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17、刘卫平</w:t>
            </w:r>
          </w:p>
        </w:tc>
        <w:tc>
          <w:tcPr>
            <w:tcW w:w="2310" w:type="dxa"/>
            <w:vAlign w:val="center"/>
            <w:gridSpan w:val="2"/>
          </w:tcPr>
          <w:p>
            <w:pPr/>
            <w:r>
              <w:rPr>
                <w:lang w:val="zh-CN"/>
                <w:rFonts w:ascii="Times New Roman" w:hAnsi="Times New Roman" w:cs="Times New Roman"/>
                <w:sz w:val="20"/>
                <w:szCs w:val="20"/>
                <w:color w:val="000000"/>
              </w:rPr>
              <w:t>532701195903050037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18、王春</w:t>
            </w:r>
          </w:p>
        </w:tc>
        <w:tc>
          <w:tcPr>
            <w:tcW w:w="2310" w:type="dxa"/>
            <w:vAlign w:val="center"/>
            <w:gridSpan w:val="2"/>
          </w:tcPr>
          <w:p>
            <w:pPr/>
            <w:r>
              <w:rPr>
                <w:lang w:val="zh-CN"/>
                <w:rFonts w:ascii="Times New Roman" w:hAnsi="Times New Roman" w:cs="Times New Roman"/>
                <w:sz w:val="20"/>
                <w:szCs w:val="20"/>
                <w:color w:val="000000"/>
              </w:rPr>
              <w:t>532728195701150021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19、刘玉莲</w:t>
            </w:r>
          </w:p>
        </w:tc>
        <w:tc>
          <w:tcPr>
            <w:tcW w:w="2310" w:type="dxa"/>
            <w:vAlign w:val="center"/>
            <w:gridSpan w:val="2"/>
          </w:tcPr>
          <w:p>
            <w:pPr/>
            <w:r>
              <w:rPr>
                <w:lang w:val="zh-CN"/>
                <w:rFonts w:ascii="Times New Roman" w:hAnsi="Times New Roman" w:cs="Times New Roman"/>
                <w:sz w:val="20"/>
                <w:szCs w:val="20"/>
                <w:color w:val="000000"/>
              </w:rPr>
              <w:t>532721195706130041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20、许时琼</w:t>
            </w:r>
          </w:p>
        </w:tc>
        <w:tc>
          <w:tcPr>
            <w:tcW w:w="2310" w:type="dxa"/>
            <w:vAlign w:val="center"/>
            <w:gridSpan w:val="2"/>
          </w:tcPr>
          <w:p>
            <w:pPr/>
            <w:r>
              <w:rPr>
                <w:lang w:val="zh-CN"/>
                <w:rFonts w:ascii="Times New Roman" w:hAnsi="Times New Roman" w:cs="Times New Roman"/>
                <w:sz w:val="20"/>
                <w:szCs w:val="20"/>
                <w:color w:val="000000"/>
              </w:rPr>
              <w:t>532728195503050329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21、李莉</w:t>
            </w:r>
          </w:p>
        </w:tc>
        <w:tc>
          <w:tcPr>
            <w:tcW w:w="2310" w:type="dxa"/>
            <w:vAlign w:val="center"/>
            <w:gridSpan w:val="2"/>
          </w:tcPr>
          <w:p>
            <w:pPr/>
            <w:r>
              <w:rPr>
                <w:lang w:val="zh-CN"/>
                <w:rFonts w:ascii="Times New Roman" w:hAnsi="Times New Roman" w:cs="Times New Roman"/>
                <w:sz w:val="20"/>
                <w:szCs w:val="20"/>
                <w:color w:val="000000"/>
              </w:rPr>
              <w:t>532728195705100021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22、张俞明</w:t>
            </w:r>
          </w:p>
        </w:tc>
        <w:tc>
          <w:tcPr>
            <w:tcW w:w="2310" w:type="dxa"/>
            <w:vAlign w:val="center"/>
            <w:gridSpan w:val="2"/>
          </w:tcPr>
          <w:p>
            <w:pPr/>
            <w:r>
              <w:rPr>
                <w:lang w:val="zh-CN"/>
                <w:rFonts w:ascii="Times New Roman" w:hAnsi="Times New Roman" w:cs="Times New Roman"/>
                <w:sz w:val="20"/>
                <w:szCs w:val="20"/>
                <w:color w:val="000000"/>
              </w:rPr>
              <w:t>452725195803230138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46080.00</w:t>
            </w:r>
          </w:p>
        </w:tc>
        <w:tc>
          <w:tcPr>
            <w:tcW w:w="2310" w:type="dxa"/>
            <w:gridSpan w:val="2"/>
          </w:tcPr>
          <w:p>
            <w:pPr/>
            <w:r>
              <w:rPr>
                <w:lang w:val="zh-CN"/>
                <w:rFonts w:ascii="Times New Roman" w:hAnsi="Times New Roman" w:cs="Times New Roman"/>
                <w:sz w:val="20"/>
                <w:szCs w:val="20"/>
                <w:color w:val="000000"/>
              </w:rPr>
              <w:t>普洱起止</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11120.00</w:t>
            </w:r>
          </w:p>
        </w:tc>
        <w:tc>
          <w:tcPr>
            <w:tcW w:w="2310" w:type="dxa"/>
            <w:gridSpan w:val="2"/>
          </w:tcPr>
          <w:p>
            <w:pPr/>
            <w:r>
              <w:rPr>
                <w:lang w:val="zh-CN"/>
                <w:rFonts w:ascii="Times New Roman" w:hAnsi="Times New Roman" w:cs="Times New Roman"/>
                <w:sz w:val="20"/>
                <w:szCs w:val="20"/>
                <w:color w:val="000000"/>
              </w:rPr>
              <w:t>昆明起止</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2880.00</w:t>
            </w:r>
          </w:p>
        </w:tc>
        <w:tc>
          <w:tcPr>
            <w:tcW w:w="2310" w:type="dxa"/>
            <w:gridSpan w:val="2"/>
          </w:tcPr>
          <w:p>
            <w:pPr/>
            <w:r>
              <w:rPr>
                <w:lang w:val="zh-CN"/>
                <w:rFonts w:ascii="Times New Roman" w:hAnsi="Times New Roman" w:cs="Times New Roman"/>
                <w:sz w:val="20"/>
                <w:szCs w:val="20"/>
                <w:color w:val="000000"/>
              </w:rPr>
              <w:t>昆明起楚雄止</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2170.00</w:t>
            </w:r>
          </w:p>
        </w:tc>
        <w:tc>
          <w:tcPr>
            <w:tcW w:w="2310" w:type="dxa"/>
          </w:tcPr>
          <w:p>
            <w:pPr/>
            <w:r>
              <w:rPr>
                <w:lang w:val="zh-CN"/>
                <w:rFonts w:ascii="Times New Roman" w:hAnsi="Times New Roman" w:cs="Times New Roman"/>
                <w:sz w:val="20"/>
                <w:szCs w:val="20"/>
                <w:color w:val="000000"/>
              </w:rPr>
              <w:t>2170.00</w:t>
            </w:r>
          </w:p>
        </w:tc>
        <w:tc>
          <w:tcPr>
            <w:tcW w:w="2310" w:type="dxa"/>
            <w:gridSpan w:val="2"/>
          </w:tcPr>
          <w:p>
            <w:pPr/>
            <w:r>
              <w:rPr>
                <w:lang w:val="zh-CN"/>
                <w:rFonts w:ascii="Times New Roman" w:hAnsi="Times New Roman" w:cs="Times New Roman"/>
                <w:sz w:val="20"/>
                <w:szCs w:val="20"/>
                <w:color w:val="000000"/>
              </w:rPr>
              <w:t>弥勒-柳州</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总金额：陆万贰仟贰佰伍拾元整</w:t>
            </w:r>
          </w:p>
        </w:tc>
        <w:tc>
          <w:tcPr>
            <w:tcW w:w="2310" w:type="dxa"/>
            <w:textDirection w:val="right"/>
            <w:gridSpan w:val="3"/>
          </w:tcPr>
          <w:p>
            <w:pPr/>
            <w:r>
              <w:rPr>
                <w:lang w:val="zh-CN"/>
                <w:rFonts w:ascii="Times New Roman" w:hAnsi="Times New Roman" w:cs="Times New Roman"/>
                <w:b/>
                <w:color w:val="FF0000"/>
              </w:rPr>
              <w:t>62250.00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2025/02/12</w:t>
            </w:r>
          </w:p>
        </w:tc>
        <w:tc>
          <w:tcPr>
            <w:tcW w:w="2310" w:type="dxa"/>
            <w:gridSpan w:val="7"/>
          </w:tcPr>
          <w:p>
            <w:pPr/>
            <w:r>
              <w:rPr>
                <w:lang w:val="zh-CN"/>
                <w:rFonts w:ascii="Times New Roman" w:hAnsi="Times New Roman" w:cs="Times New Roman"/>
                <w:b/>
                <w:color w:val="000000"/>
              </w:rPr>
              <w:t>第1天（2月12日）：普洱-昆明-弥勒(动车)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游客从普洱乘高铁前往弥勒，导游于指定时间地点接站后前往酒店入住。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早餐：自理；午餐：自理；晚餐：含晚餐（赠送）    ；住宿：弥勒温泉酒店</w:t>
            </w:r>
          </w:p>
        </w:tc>
      </w:tr>
      <w:tr>
        <w:tc>
          <w:tcPr>
            <w:tcW w:w="2310" w:type="dxa"/>
            <w:vAlign w:val="center"/>
            <w:vMerge w:val="restart"/>
          </w:tcPr>
          <w:p>
            <w:pPr/>
            <w:r>
              <w:rPr>
                <w:lang w:val="zh-CN"/>
                <w:rFonts w:ascii="Times New Roman" w:hAnsi="Times New Roman" w:cs="Times New Roman"/>
                <w:sz w:val="20"/>
                <w:szCs w:val="20"/>
                <w:color w:val="000000"/>
              </w:rPr>
              <w:t>2025/02/13</w:t>
            </w:r>
          </w:p>
        </w:tc>
        <w:tc>
          <w:tcPr>
            <w:tcW w:w="2310" w:type="dxa"/>
            <w:gridSpan w:val="7"/>
          </w:tcPr>
          <w:p>
            <w:pPr/>
            <w:r>
              <w:rPr>
                <w:lang w:val="zh-CN"/>
                <w:rFonts w:ascii="Times New Roman" w:hAnsi="Times New Roman" w:cs="Times New Roman"/>
                <w:b/>
                <w:color w:val="000000"/>
              </w:rPr>
              <w:t>弥勒-太平湖森林公园-锦屏山风景区(汽车)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用早餐后，前往游览弥勒【太平湖森林公园】（游览约3小时，含外线观光车），弥勒太平湖森林小镇位于红河州弥勒市太平湖国际旅游度假区内。景区清灵秀雅，环山抱水，草木葱郁，繁花似锦，呈现出一片浮岚暖翠、缤纷旖旎的高原自然生态风光，在这里，游客可以零距离欣赏国际大师的绝世佳景，将中心文化完美交融尽收眼底，也可以和爱人携手在三角梅园见证爱情，与家人在林下花海漫步人生。中餐后前往【锦屏山风景区】（11KM,约15分钟，电瓶车往返已含）拥有大佛、大运、大雄、大智四院之宏阔，集弥勒强巴相、弥勒思维相、弥勒仙光相、弥勒布袋相、弥勒天冠相之绝，遂成"弥勒道场"之大寺。其间有南怀谨先生亲笔题词的弥勒大佛(弥勒布袋相)于1999年12月落成，高度为1999厘米，是世界上最大的笑佛，象征跨世纪的祖国和平统一繁荣富强的美好祝愿。锦屏山呈大丛林之恢宏，托1999厘米大佛之高大，延1999级台阶之绵长，显千年梯田、百年古树、潺潺清泉之灵秀。游览结束后送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早餐：含；午餐：含；晚餐：含；住宿：弥勒温泉酒店</w:t>
            </w:r>
          </w:p>
        </w:tc>
      </w:tr>
      <w:tr>
        <w:tc>
          <w:tcPr>
            <w:tcW w:w="2310" w:type="dxa"/>
            <w:vAlign w:val="center"/>
            <w:vMerge w:val="restart"/>
          </w:tcPr>
          <w:p>
            <w:pPr/>
            <w:r>
              <w:rPr>
                <w:lang w:val="zh-CN"/>
                <w:rFonts w:ascii="Times New Roman" w:hAnsi="Times New Roman" w:cs="Times New Roman"/>
                <w:sz w:val="20"/>
                <w:szCs w:val="20"/>
                <w:color w:val="000000"/>
              </w:rPr>
              <w:t>2025/02/14</w:t>
            </w:r>
          </w:p>
        </w:tc>
        <w:tc>
          <w:tcPr>
            <w:tcW w:w="2310" w:type="dxa"/>
            <w:gridSpan w:val="7"/>
          </w:tcPr>
          <w:p>
            <w:pPr/>
            <w:r>
              <w:rPr>
                <w:lang w:val="zh-CN"/>
                <w:rFonts w:ascii="Times New Roman" w:hAnsi="Times New Roman" w:cs="Times New Roman"/>
                <w:b/>
                <w:color w:val="000000"/>
              </w:rPr>
              <w:t>弥勒东风韵景区-昆明-柳州(动车)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前往弥勒享有东方“万花筒”之称的【东风韵万花筒庄园】（游览约2.5小时，含往返电瓶车）万花筒艺术庄园建筑群运用了超现实加后现代的建筑风格，用类似酒瓶形状代表了弥勒的红酒文化，同时还有彝族的火文化和共生向上的三种文化结合。艺术馆的设计理念来源于“万花筒”，外观是一个个形如“筒”状的建筑体。馆顶四壁的采光也是根据万花筒中三菱镜的特点来设计的，由于不同日期不同时刻阳光照射的多少不一，馆内的光线也会随之呈现出不同的变化。千变万化，趣味无穷，正是万花筒艺术馆的特征。午餐后前往高铁站，游客乘高铁从弥勒前往柳州，导游于指定时间地点接站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早餐：含；午餐：含；晚餐：自理；住宿：柳州</w:t>
            </w:r>
          </w:p>
        </w:tc>
      </w:tr>
      <w:tr>
        <w:tc>
          <w:tcPr>
            <w:tcW w:w="2310" w:type="dxa"/>
            <w:vAlign w:val="center"/>
            <w:vMerge w:val="restart"/>
          </w:tcPr>
          <w:p>
            <w:pPr/>
            <w:r>
              <w:rPr>
                <w:lang w:val="zh-CN"/>
                <w:rFonts w:ascii="Times New Roman" w:hAnsi="Times New Roman" w:cs="Times New Roman"/>
                <w:sz w:val="20"/>
                <w:szCs w:val="20"/>
                <w:color w:val="000000"/>
              </w:rPr>
              <w:t>2025/02/15</w:t>
            </w:r>
          </w:p>
        </w:tc>
        <w:tc>
          <w:tcPr>
            <w:tcW w:w="2310" w:type="dxa"/>
            <w:gridSpan w:val="7"/>
          </w:tcPr>
          <w:p>
            <w:pPr/>
            <w:r>
              <w:rPr>
                <w:lang w:val="zh-CN"/>
                <w:rFonts w:ascii="Times New Roman" w:hAnsi="Times New Roman" w:cs="Times New Roman"/>
                <w:b/>
                <w:color w:val="000000"/>
              </w:rPr>
              <w:t>柳州博物馆-龙潭公园-窑埠古镇-夜游柳江(汽车)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柳州博物馆】柳州博物馆位于广西柳州市人民广场东侧，是一座拥有先进设施与现代化功能的综合性国家级重点博物馆。馆藏各类文物36000多件，主要陈列有《柳州历史文化陈列》、《柳州少数民族风情展》、《古代青铜陈列》、《古代书画扇面陈列》、《古代陶瓷陈列》，向观众展示出柳州的民族文化和历史。柳州博物馆是国家AAAA级文物旅游景区，占地面积39亩，建筑面积16600平方米，展示区面积8000平方米，辖柳侯祠文物景区、东门城楼文物景区。柳州博物馆建筑主体采用花岗岩风暴石砌筑，为古城阙样式，外廊21面浮雕，寓意21世纪的柳州和2100年的历史，反映柳州史前文明、民族民俗文化、现代文化等内容。常设陈列有《历史馆》、《民族馆》、《青铜馆》、《扇面书画馆》、《古生物化石馆》、一个多功能活动厅和学术报告厅等，通过布景方式和不同历史时期的文物实体，再现柳州历史风貌，展示古城风采。※柳州博物馆：珍藏历史，展现文化，领略柳州风采。 然后来到【大龙潭风景区】--中国“喀斯特绿宝石”，流连忘返梦幻般的山水景观！大龙潭风景区别具匠心地以广西及我国南方少数民族多姿多彩的民族建筑、风物民俗为主要建园内容，融少数民族风情特色与秀美的自然景色为一体。民族风情游览线已初具规模，以"鼓楼"、"龙潭风雨桥"、"木楼民居"和"轻松山房"等建筑组成的侗寨蔚为壮观。静卧镜湖上的"龙潭风雨桥"系仿古钢筋混凝土廊桥式筑，以三江程阳风雨桥为基本设计、建造而成。整座桥亭飞檐，极具特色。傍水而建的九层瓒尖式鼓楼为正四边形塔楼结构，飞檐重阁、琉璃瓦饰、葫芦顶、端庄肃穆;内设景廊，盘旋而上，上悬"款鼓"。既体现侗人击鼓示警聚众之意，又应合游人登高望远之心。※大龙潭：素有“山青、水秀、洞奇、石美、林茂、花香”之美誉。 随后来到【窑埠古镇】窑埠古镇是百里柳江的璀璨明珠。窑埠古镇街区距今有两千多年历史，因烧制砖瓦得“窑埠”著称，清光绪年间，往来商贾汇聚，甚是繁荣。窑埠古镇至今保存有柳州最古老的窑埠码头、三百多年历史的蟠龙双塔、明代名仕王氏兄弟隐居耕读的王氏山房、瑶苗始祖祭祀场所盘古庙和盘古洞等众多文物保护单位和历史遗存，是柳州历史文化重要标志，其文化底蕴深厚，明代著名旅行家徐霞客曾多次登游此处。窑埠古镇赓续文脉，以“再现窑埠古朴风貌，复兴古埠昔日繁荣”为理念进行了重建，通过“建筑博物馆群”再现了窑埠古村落和古码头的古朴风貌。2021年，窑埠古镇入选第一批国家级夜间文化和旅游消费集聚区；2022年10月，央视新闻用“夜晚的窑埠古镇古典与时尚交融璀璨夺目、生机盎然”的赞美之词点赞柳州市鱼峰区窑埠古镇街区。※窑埠古镇：柳州十大重点工程，城市会客厅，百里柳江上“璀璨明珠”。 晚上船游【百里柳江】，把两岸美景尽揽的同时，感受那来自空气的清爽，清晰的微风拂过，亲吻着你的脸。每当花灯初上，百里柳江两岸霓虹闪烁，繁华街区人头攒动浮雕，市区沿江山体、瀑布、音乐喷泉在色彩景观灯的照耀下，犹如一串晶莹剔透的彩色夜明珠，倒映在恍若银河的九曲柳江，汇成龙城夜色中最魅力的人间美景，夜晚的柳江风韵尽现，柳江两岸万家灯火，座座高楼五彩缤纷。宽阔的江面，河水清辙，雄伟的大桥，一桥一景，流光溢彩，各展个性。蟠龙山的双塔、马鞍山的英姿、驾鹤山的夜象、鹅山倩影、蟠龙瀑布群、裸露的岩壁、山上的树木、岸边各色喷泉在灯光的照射下，通体透亮，十分眩目。山点缀着水，水倒影着山，山、水、桥交融映衬，相得益彰，充分凸现了“百里柳江、百里画廊”的神韵......游览结束后我们返回酒店休息。※夜游百里柳江：打卡最美桥梁博物馆城市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早餐：含；午餐：含；晚餐：含；住宿：柳州</w:t>
            </w:r>
          </w:p>
        </w:tc>
      </w:tr>
      <w:tr>
        <w:tc>
          <w:tcPr>
            <w:tcW w:w="2310" w:type="dxa"/>
            <w:vAlign w:val="center"/>
            <w:vMerge w:val="restart"/>
          </w:tcPr>
          <w:p>
            <w:pPr/>
            <w:r>
              <w:rPr>
                <w:lang w:val="zh-CN"/>
                <w:rFonts w:ascii="Times New Roman" w:hAnsi="Times New Roman" w:cs="Times New Roman"/>
                <w:sz w:val="20"/>
                <w:szCs w:val="20"/>
                <w:color w:val="000000"/>
              </w:rPr>
              <w:t>2025/02/16</w:t>
            </w:r>
          </w:p>
        </w:tc>
        <w:tc>
          <w:tcPr>
            <w:tcW w:w="2310" w:type="dxa"/>
            <w:gridSpan w:val="7"/>
          </w:tcPr>
          <w:p>
            <w:pPr/>
            <w:r>
              <w:rPr>
                <w:lang w:val="zh-CN"/>
                <w:rFonts w:ascii="Times New Roman" w:hAnsi="Times New Roman" w:cs="Times New Roman"/>
                <w:b/>
                <w:color w:val="000000"/>
              </w:rPr>
              <w:t>三江/程阳八寨-丹州景区-返柳州(汽车)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三江【程阳八寨景区】（游览+时间约4小时）程阳八寨由程阳八个自然村寨组成，周围青山绿树环绕，景色优美。游客来此可以漫步传统村庄观赏美景，参观程阳风雨桥等全国闻名的古迹，还可观看具有侗族风情的民俗表演等，是观光摄影、领略侗族风情的绝佳去处。还是成龙主演的《绝地逃亡》电影取景地之一。游览世界四大历史名桥之一的程阳风雨桥，该桥始建于1912年，长77.76米，桥道宽3.75米，桥面高11.52米，它的建筑惊人之处在于，整座桥梁不用一钉一铆，大小条木，凿木相吻，以榫衔接，你不得不佩服侗族人巧夺天工的技艺。桥上有栏杆和屋顶，还有5个多角亭，具有独特的侗族韵味。一架架水车慢慢的转动。车水之声不绝于耳。马鞍鼓楼、合龙风雨桥、岩寨鼓楼、平寨鼓楼及不远处的侗家吊脚楼依山傍水，象似一幅漂亮的田园风光。一片远离都市喧嚣的心灵净地，梦中的休憩天堂。※程阳八寨：游侗寨风雨桥的代表作，醉美侗寨之称。 然后前往【丹洲古镇】丹洲古镇是一个孤立于江中的小岛古镇，没有路桥可通，必须渡船而入。丹洲这座古城始建于明朝万历十九年，系当时的怀远县城，已有四百多年的历史。1914年怀远改称三江县，至1932年迁往古宜。古时以江为路，江河则为生财之道。丹洲地理独特，上通湘、黔、滇，下连粤、闽、赣，使其成为东南地区通往西北边界的门户。丹洲一时成为方圆百里之内的政治、经济、文化中心，东南各省文人骚客聚居于此。古镇置身于融江之中，四面环水，山怀水抱，犹如镶嵌在青山绿水中的一颗翡翠，整个岛绿色覆盖的面积达百分之八十以上。于此可见太白诗云“二水中分白鹭洲”实景。古城目前尚存北门古城墙、闽粤会馆、丹洲书院等历史文化古迹及古民居。古城遗韵，令人久久品味。古镇上几乎家家种有柚子，纯手工制作的各种食品也是味美价廉。※丹州古镇：四面环水，被誉为“中国唯一的水上古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早餐：含；午餐：含；晚餐：含；住宿：柳州</w:t>
            </w:r>
          </w:p>
        </w:tc>
      </w:tr>
      <w:tr>
        <w:tc>
          <w:tcPr>
            <w:tcW w:w="2310" w:type="dxa"/>
            <w:vAlign w:val="center"/>
            <w:vMerge w:val="restart"/>
          </w:tcPr>
          <w:p>
            <w:pPr/>
            <w:r>
              <w:rPr>
                <w:lang w:val="zh-CN"/>
                <w:rFonts w:ascii="Times New Roman" w:hAnsi="Times New Roman" w:cs="Times New Roman"/>
                <w:sz w:val="20"/>
                <w:szCs w:val="20"/>
                <w:color w:val="000000"/>
              </w:rPr>
              <w:t>2025/02/17</w:t>
            </w:r>
          </w:p>
        </w:tc>
        <w:tc>
          <w:tcPr>
            <w:tcW w:w="2310" w:type="dxa"/>
            <w:gridSpan w:val="7"/>
          </w:tcPr>
          <w:p>
            <w:pPr/>
            <w:r>
              <w:rPr>
                <w:lang w:val="zh-CN"/>
                <w:rFonts w:ascii="Times New Roman" w:hAnsi="Times New Roman" w:cs="Times New Roman"/>
                <w:b/>
                <w:color w:val="000000"/>
              </w:rPr>
              <w:t>柳州-昆明-普洱(动车)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早餐后，根据高铁时间前往高铁站，乘高铁返回普洱，结束愉快的旅行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旅游费用不包含：1、门票均属于免费赠送，持军官证、教师证、残疾证、老年证、老年免费等门票一律不退不减。2、自由活动期间交通费、餐费、等私人费用。3、游客自行外出购买商品的消费。4、如遇自然灾害、航空公司航班变动、火车晚点/停运等不可抗力事件，以及非旅行社责任造成的意外情形所产生的额外损失、费用，需由客人自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1</w:t>
                  </w:r>
                  <w:r>
                    <w:rPr>
                      <w:rFonts w:hint="eastAsia" w:asciiTheme="minorEastAsia" w:hAnsiTheme="minorEastAsia"/>
                    </w:rPr>
                    <w:t xml:space="preserve">月 </w:t>
                  </w:r>
                  <w:r>
                    <w:rPr>
                      <w:rFonts w:hint="eastAsia" w:asciiTheme="minorEastAsia" w:hAnsiTheme="minorEastAsia"/>
                    </w:rPr>
                    <w:t>24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2025/1/24 17:30:36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