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富民昆旅国际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周红言</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16(16大)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16</w:t>
            </w:r>
          </w:p>
        </w:tc>
        <w:tc>
          <w:tcPr>
            <w:tcW w:w="2310" w:type="dxa"/>
          </w:tcPr>
          <w:p>
            <w:pPr/>
            <w:r>
              <w:rPr>
                <w:lang w:val="zh-CN"/>
                <w:rFonts w:ascii="Times New Roman" w:hAnsi="Times New Roman" w:cs="Times New Roman"/>
                <w:sz w:val="20"/>
                <w:szCs w:val="20"/>
                <w:color w:val="000000"/>
              </w:rPr>
              <w:t>3130.00</w:t>
            </w:r>
          </w:p>
        </w:tc>
        <w:tc>
          <w:tcPr>
            <w:tcW w:w="2310" w:type="dxa"/>
          </w:tcPr>
          <w:p>
            <w:pPr/>
            <w:r>
              <w:rPr>
                <w:lang w:val="zh-CN"/>
                <w:rFonts w:ascii="Times New Roman" w:hAnsi="Times New Roman" w:cs="Times New Roman"/>
                <w:sz w:val="20"/>
                <w:szCs w:val="20"/>
                <w:color w:val="000000"/>
              </w:rPr>
              <w:t>50080.00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总金额：伍万零捌拾元整</w:t>
            </w:r>
          </w:p>
        </w:tc>
        <w:tc>
          <w:tcPr>
            <w:tcW w:w="2310" w:type="dxa"/>
            <w:textDirection w:val="right"/>
            <w:gridSpan w:val="3"/>
          </w:tcPr>
          <w:p>
            <w:pPr/>
            <w:r>
              <w:rPr>
                <w:lang w:val="zh-CN"/>
                <w:rFonts w:ascii="Times New Roman" w:hAnsi="Times New Roman" w:cs="Times New Roman"/>
                <w:b/>
                <w:color w:val="FF0000"/>
              </w:rPr>
              <w:t>50080.00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周红言</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5</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2025/10/5 10:17:45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