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天龙八部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ZLY10FJ241010A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1、李有成</w:t>
            </w:r>
          </w:p>
        </w:tc>
        <w:tc>
          <w:tcPr>
            <w:tcW w:w="2310" w:type="dxa"/>
            <w:vAlign w:val="center"/>
            <w:gridSpan w:val="2"/>
          </w:tcPr>
          <w:p>
            <w:pPr/>
            <w:r>
              <w:rPr>
                <w:lang w:val="zh-CN"/>
                <w:rFonts w:ascii="Times New Roman" w:hAnsi="Times New Roman" w:cs="Times New Roman"/>
                <w:sz w:val="20"/>
                <w:szCs w:val="20"/>
                <w:color w:val="000000"/>
              </w:rPr>
              <w:t>532528195511240017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2、吴跃萍</w:t>
            </w:r>
          </w:p>
        </w:tc>
        <w:tc>
          <w:tcPr>
            <w:tcW w:w="2310" w:type="dxa"/>
            <w:vAlign w:val="center"/>
            <w:gridSpan w:val="2"/>
          </w:tcPr>
          <w:p>
            <w:pPr/>
            <w:r>
              <w:rPr>
                <w:lang w:val="zh-CN"/>
                <w:rFonts w:ascii="Times New Roman" w:hAnsi="Times New Roman" w:cs="Times New Roman"/>
                <w:sz w:val="20"/>
                <w:szCs w:val="20"/>
                <w:color w:val="000000"/>
              </w:rPr>
              <w:t>53252819631016004X</w:t>
            </w:r>
          </w:p>
        </w:tc>
        <w:tc>
          <w:tcPr>
            <w:tcW w:w="2310" w:type="dxa"/>
            <w:vAlign w:val="center"/>
          </w:tcPr>
          <w:p>
            <w:pPr/>
            <w:r>
              <w:rPr>
                <w:lang w:val="zh-CN"/>
                <w:rFonts w:ascii="Times New Roman" w:hAnsi="Times New Roman" w:cs="Times New Roman"/>
                <w:sz w:val="20"/>
                <w:szCs w:val="20"/>
                <w:color w:val="000000"/>
              </w:rPr>
              <w:t>13908738687</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7360.00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总金额：柒仟叁佰陆拾元整</w:t>
            </w:r>
          </w:p>
        </w:tc>
        <w:tc>
          <w:tcPr>
            <w:tcW w:w="2310" w:type="dxa"/>
            <w:textDirection w:val="right"/>
            <w:gridSpan w:val="3"/>
          </w:tcPr>
          <w:p>
            <w:pPr/>
            <w:r>
              <w:rPr>
                <w:lang w:val="zh-CN"/>
                <w:rFonts w:ascii="Times New Roman" w:hAnsi="Times New Roman" w:cs="Times New Roman"/>
                <w:b/>
                <w:color w:val="FF0000"/>
              </w:rPr>
              <w:t>7360.00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2024/10/14</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2024/10/15</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2024/10/18</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2024/10/19</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2024/10/20</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2024/10/21</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2024/10/22</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2024/10/23</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鹳雀楼】，根据航班时间前往机场送机，结束行程。【解州关帝庙】（游览时间约1小时）“武庙之冠”、山西十大旅游景区之一的解州关帝庙。忠义双全、关公故里。【鹳雀楼】鹳雀楼为高台式十字歇山顶楼阁，外观了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杨梅</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10</w:t>
                  </w:r>
                  <w:r>
                    <w:rPr>
                      <w:rFonts w:hint="eastAsia" w:asciiTheme="minorEastAsia" w:hAnsiTheme="minorEastAsia"/>
                    </w:rPr>
                    <w:t xml:space="preserve">月 </w:t>
                  </w:r>
                  <w:r>
                    <w:rPr>
                      <w:rFonts w:hint="eastAsia" w:asciiTheme="minorEastAsia" w:hAnsiTheme="minorEastAsia"/>
                    </w:rPr>
                    <w:t>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2024/10/4 18:44:46</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