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游龙艳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游龙艳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1、夏宝兴</w:t>
            </w:r>
          </w:p>
        </w:tc>
        <w:tc>
          <w:tcPr>
            <w:tcW w:w="2310" w:type="dxa"/>
            <w:vAlign w:val="center"/>
            <w:gridSpan w:val="2"/>
          </w:tcPr>
          <w:p>
            <w:pPr/>
            <w:r>
              <w:rPr>
                <w:lang w:val="zh-CN"/>
                <w:rFonts w:ascii="Times New Roman" w:hAnsi="Times New Roman" w:cs="Times New Roman"/>
                <w:sz w:val="20"/>
                <w:szCs w:val="20"/>
                <w:color w:val="000000"/>
              </w:rPr>
              <w:t>530102195403181112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2、吕家风</w:t>
            </w:r>
          </w:p>
        </w:tc>
        <w:tc>
          <w:tcPr>
            <w:tcW w:w="2310" w:type="dxa"/>
            <w:vAlign w:val="center"/>
            <w:gridSpan w:val="2"/>
          </w:tcPr>
          <w:p>
            <w:pPr/>
            <w:r>
              <w:rPr>
                <w:lang w:val="zh-CN"/>
                <w:rFonts w:ascii="Times New Roman" w:hAnsi="Times New Roman" w:cs="Times New Roman"/>
                <w:sz w:val="20"/>
                <w:szCs w:val="20"/>
                <w:color w:val="000000"/>
              </w:rPr>
              <w:t>530102196007231143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3、李芃</w:t>
            </w:r>
          </w:p>
        </w:tc>
        <w:tc>
          <w:tcPr>
            <w:tcW w:w="2310" w:type="dxa"/>
            <w:vAlign w:val="center"/>
            <w:gridSpan w:val="2"/>
          </w:tcPr>
          <w:p>
            <w:pPr/>
            <w:r>
              <w:rPr>
                <w:lang w:val="zh-CN"/>
                <w:rFonts w:ascii="Times New Roman" w:hAnsi="Times New Roman" w:cs="Times New Roman"/>
                <w:sz w:val="20"/>
                <w:szCs w:val="20"/>
                <w:color w:val="000000"/>
              </w:rPr>
              <w:t>530102195409170334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4、陆小萍</w:t>
            </w:r>
          </w:p>
        </w:tc>
        <w:tc>
          <w:tcPr>
            <w:tcW w:w="2310" w:type="dxa"/>
            <w:vAlign w:val="center"/>
            <w:gridSpan w:val="2"/>
          </w:tcPr>
          <w:p>
            <w:pPr/>
            <w:r>
              <w:rPr>
                <w:lang w:val="zh-CN"/>
                <w:rFonts w:ascii="Times New Roman" w:hAnsi="Times New Roman" w:cs="Times New Roman"/>
                <w:sz w:val="20"/>
                <w:szCs w:val="20"/>
                <w:color w:val="000000"/>
              </w:rPr>
              <w:t>530103195402131822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5、何智森</w:t>
            </w:r>
          </w:p>
        </w:tc>
        <w:tc>
          <w:tcPr>
            <w:tcW w:w="2310" w:type="dxa"/>
            <w:vAlign w:val="center"/>
            <w:gridSpan w:val="2"/>
          </w:tcPr>
          <w:p>
            <w:pPr/>
            <w:r>
              <w:rPr>
                <w:lang w:val="zh-CN"/>
                <w:rFonts w:ascii="Times New Roman" w:hAnsi="Times New Roman" w:cs="Times New Roman"/>
                <w:sz w:val="20"/>
                <w:szCs w:val="20"/>
                <w:color w:val="000000"/>
              </w:rPr>
              <w:t>530112195405290032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6、诸琼芬</w:t>
            </w:r>
          </w:p>
        </w:tc>
        <w:tc>
          <w:tcPr>
            <w:tcW w:w="2310" w:type="dxa"/>
            <w:vAlign w:val="center"/>
            <w:gridSpan w:val="2"/>
          </w:tcPr>
          <w:p>
            <w:pPr/>
            <w:r>
              <w:rPr>
                <w:lang w:val="zh-CN"/>
                <w:rFonts w:ascii="Times New Roman" w:hAnsi="Times New Roman" w:cs="Times New Roman"/>
                <w:sz w:val="20"/>
                <w:szCs w:val="20"/>
                <w:color w:val="000000"/>
              </w:rPr>
              <w:t>530103195401210924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7、梁大用</w:t>
            </w:r>
          </w:p>
        </w:tc>
        <w:tc>
          <w:tcPr>
            <w:tcW w:w="2310" w:type="dxa"/>
            <w:vAlign w:val="center"/>
            <w:gridSpan w:val="2"/>
          </w:tcPr>
          <w:p>
            <w:pPr/>
            <w:r>
              <w:rPr>
                <w:lang w:val="zh-CN"/>
                <w:rFonts w:ascii="Times New Roman" w:hAnsi="Times New Roman" w:cs="Times New Roman"/>
                <w:sz w:val="20"/>
                <w:szCs w:val="20"/>
                <w:color w:val="000000"/>
              </w:rPr>
              <w:t>530103195306070038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8、周利华</w:t>
            </w:r>
          </w:p>
        </w:tc>
        <w:tc>
          <w:tcPr>
            <w:tcW w:w="2310" w:type="dxa"/>
            <w:vAlign w:val="center"/>
            <w:gridSpan w:val="2"/>
          </w:tcPr>
          <w:p>
            <w:pPr/>
            <w:r>
              <w:rPr>
                <w:lang w:val="zh-CN"/>
                <w:rFonts w:ascii="Times New Roman" w:hAnsi="Times New Roman" w:cs="Times New Roman"/>
                <w:sz w:val="20"/>
                <w:szCs w:val="20"/>
                <w:color w:val="000000"/>
              </w:rPr>
              <w:t>530103195710240043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9、黄荣</w:t>
            </w:r>
          </w:p>
        </w:tc>
        <w:tc>
          <w:tcPr>
            <w:tcW w:w="2310" w:type="dxa"/>
            <w:vAlign w:val="center"/>
            <w:gridSpan w:val="2"/>
          </w:tcPr>
          <w:p>
            <w:pPr/>
            <w:r>
              <w:rPr>
                <w:lang w:val="zh-CN"/>
                <w:rFonts w:ascii="Times New Roman" w:hAnsi="Times New Roman" w:cs="Times New Roman"/>
                <w:sz w:val="20"/>
                <w:szCs w:val="20"/>
                <w:color w:val="000000"/>
              </w:rPr>
              <w:t>530103195409252555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10、莫晓楠</w:t>
            </w:r>
          </w:p>
        </w:tc>
        <w:tc>
          <w:tcPr>
            <w:tcW w:w="2310" w:type="dxa"/>
            <w:vAlign w:val="center"/>
            <w:gridSpan w:val="2"/>
          </w:tcPr>
          <w:p>
            <w:pPr/>
            <w:r>
              <w:rPr>
                <w:lang w:val="zh-CN"/>
                <w:rFonts w:ascii="Times New Roman" w:hAnsi="Times New Roman" w:cs="Times New Roman"/>
                <w:sz w:val="20"/>
                <w:szCs w:val="20"/>
                <w:color w:val="000000"/>
              </w:rPr>
              <w:t>530111195405140417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38800.00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总金额：叁万捌仟捌佰元整</w:t>
            </w:r>
          </w:p>
        </w:tc>
        <w:tc>
          <w:tcPr>
            <w:tcW w:w="2310" w:type="dxa"/>
            <w:textDirection w:val="right"/>
            <w:gridSpan w:val="3"/>
          </w:tcPr>
          <w:p>
            <w:pPr/>
            <w:r>
              <w:rPr>
                <w:lang w:val="zh-CN"/>
                <w:rFonts w:ascii="Times New Roman" w:hAnsi="Times New Roman" w:cs="Times New Roman"/>
                <w:b/>
                <w:color w:val="FF0000"/>
              </w:rPr>
              <w:t>38800.00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昆明—运城(飞机)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机后前往参观【运城盐湖】运城盐湖是中国最古老的盐业生产基地，开发史超4600年，素有“一池盬池水，半部华夏史”之称。文明摇篮：天然食盐滋养了早期华夏文明，尧、舜、禹曾在此附近建都。财政支柱：自古为中原核心食盐供给地，唐代时盐税占全国1/8，宋代占1/10。后入住运城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运城一壶口/吉县：5A云丘山，万年冰洞，5A壶口瀑布景区(巴士)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早餐后前往参观【云丘山风景区】【壶口瀑布】 (车程 121KM，大约 2小时)，入住酒店休息。【云丘山风景区】（游览时间约 3 小时）这里是中华农耕文明发源地之一，华夏乡土文化的地理标志，中和文化——非物质文化遗产的传承地。上古时为唐尧、虞舜和夏禹之望岳，观天测时在此起步初始，中和文化在此生根延伸，中华道教龙门派在此衍生传播，斯山与武当山齐名，素有"北云丘、南武当"之盛誉。漫步天然氧吧，感受远离尘世喧嚣的氛围，放松身心，置身大自然。下午游览云丘山最富有历史传统价值的景点【塔尔坡古村】塔尔坡古村，不仅被称为“千年民居建筑的活化石 ”，更是一座没有屋顶的“活态民俗博物馆 ”，有2500多年历史，因老子李耳云游天下曾下榻于此地而得名，在这里穿越千年历史，欣赏建筑活化石。游览【云丘山冰洞】。云丘山冰洞群形成于第四季冰川期，是距今已有300多万年历史的天然群体性冰洞群，洞体四壁结冰，冰柱、冰笋、冰钟乳、冰石花以及其它冰晶景观结构分布整个空间，堪称冰雪童话世界。温馨提示：云丘山冰洞温度较低，建议景区门口添加免费棉大衣。【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早餐：含；午餐：含；晚餐：含；住宿：壶口/吉县</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壶口/吉县一靖边：4A雨岔大峡谷(巴士)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 200KM，大约 3小时)，后乘车前往靖边 (车程 210KM，大约 3小时)，入住酒店休息。【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靖边一碛口：4A波浪谷(巴士)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 30KM，大约 1小时)，后乘车前往碛口 (车程 230KM，大约 3.5小时)，入住酒店休息。参观【波浪谷】 （游览时间约 2 小时）世界八大岩石奇观之一的红砂岩地貌，展示的   是由数百万年的风、水和时间雕琢砂岩而成的奇妙世界，靖边波浪谷在陕北这个黄土覆盖的地方能有这样的石头景观真是个奇迹了。若景区临时封闭某区域则根据实际情况游览。独家赠送：陕北民歌伴随，吃的是热闹，听的是乡愁。民歌伴宴，越吃越有劲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早餐：含；午餐：含；晚餐：含；住宿：碛口</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碛口一大同：4A碛口古镇，4A李家山，5A雁门关</w:t>
            </w:r>
            <w:r>
              <w:rPr>
                <w:lang w:val="zh-CN"/>
                <w:rFonts w:ascii="Times New Roman" w:hAnsi="Times New Roman" w:cs="Times New Roman"/>
                <w:b/>
                <w:color w:val="000000"/>
              </w:rPr>
              <w:tab/>
            </w:r>
            <w:r>
              <w:rPr>
                <w:lang w:val="zh-CN"/>
                <w:rFonts w:ascii="Times New Roman" w:hAnsi="Times New Roman" w:cs="Times New Roman"/>
                <w:b/>
                <w:color w:val="000000"/>
              </w:rPr>
              <w:t>(巴士)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早餐后参观【碛口古镇】【李家山】(车程 10KM，大约 20分钟)，后乘车出发前往参观【雁门关】(车程 350KM，大约 5小时)，后乘车前往应县(车程 80KM，大约 1.5小时)入住酒店休息。早餐后乘车出发，前往参观【碛口古镇】(自由活动时间约1小时)碛口从清代乾隆年间兴起，此后200余年是中国北方著名的商贸重镇。民间有“驮不尽的碛口，填不满的吴城”“青定头， 南峪口，拴起骡子跑碛口”之说，可见当年的繁华。正所谓“水旱码头小都会，九  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 封闭，像与世隔绝的桃花源，山体与建筑结合之完美，人居环境自然之美，窑洞 层层叠置错落之美，尽在这里得到了完美体现。【雁门关】(游览时间约1.5小时)位于代县县城以北约20公里处的雁门山中，是长城上的重要关隘，以险著称，曾被誉为“中华第一关”,有“天下九塞，雁门为首”之说，2001年被选为第五批全国重点文物保护单位。后乘车前往应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早餐：含；午餐：含；晚餐：含；住宿：应县</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应县一浑源：4A应县木塔，5A云冈石窟(巴士)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早餐后参观【应县木塔】【云冈石窟】(车程 80KM，大约1.5小时)，后乘车出发前往浑源(车程 100KM，大约 1.5小时)入住酒店休息。【应县木塔】（游览时间约 1 小时）世界三大奇塔之一的，作为辽代建筑，有着900 多年的历史，是世界上现存唯一最古老最高大的纯木结构楼阁式建筑，更是中国古代建筑抗震设计的杰出代表。【云冈石窟】（游览时间约 2 小时左右），世界文化遗产、国家 5A 级景区、中国三大石窟之一，云冈石窟依山开凿，东西绵延 1 公里。存有主要洞窟 45 个，大小窟龛 252 个，石雕造像 51000 余躯，为中国规模最大的古代石窟群之一，与敦煌莫高窟、洛阳龙门石窟和天水麦积山石窟并称为中国四大石窟艺术宝库。行程结束乘车前往浑源，抵达后入住酒店休息、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早餐：含；午餐：含；晚餐：含；住宿：浑源</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浑源一忻州(巴士)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 (车程 78KM，大约 1 小时）,【五台山风景名胜区】（132KM，大约 2.5 小时）（五爷庙、殊像寺、塔院寺，显通寺），后抵达太原（车程 201KM，大约 2.5 小时）入住酒店。【悬空寺首道】（景区大门票，约 1.5 小时参观时间。如要登临，根据个人需求自愿自行购买，60 周岁以上免。注：登悬空寺有危险，有恐高和高血压患者请勿登临。）悬空寺又名玄空寺，是国内仅存的佛、道、儒三教合一的独特寺庙。是中国古代建筑精华的体现。寺下岩石上“壮观 ”二字，是唐代诗仙李白的墨宝。【殊像寺】-文殊菩萨的祖庭，阁内石制须弥座上有高 11.6 米的木雕文殊菩萨骑狮像。【塔院寺】-五台山标志性建筑大白塔所在寺院。【显通寺】-五台山开山鼻祖寺庙，中国最早的寺庙之一。【镇海寺】五台山著名的藏传佛教格鲁派寺院，它坐落于台怀镇以南约5公里的清水河西侧，建在海拔1600米的石山嘴上，左右两山环抱如双龙，寺院居其中恰似宝珠，是“二龙戏珠 ”的绝佳风水宝地。独家赠送：寺庙开光佛卡和开光加持护身符。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太原一平遥：5A晋祠，4A乔家大院   5A平遥古城(巴士)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早餐后乘车出发，前往参观【晋祠】（车程 29KM，大约 40 分钟）【乔家大院】 (车程 37KM，大约 1 小时)，后抵达平遥古城(车程 37KM，大约 1 小时)，前往入住特色民俗客栈。【晋祠】（游览时间约 1 小时）初名唐叔虞祠，是为纪念晋国开国诸侯唐叔虞（后被追封为晋王）及母后邑姜后而建。是中国现存最早的皇家园林，为晋国宗祠。祠内有几十座古建筑，具有浓郁的中华传统文化特色，其中难老泉、侍女像、圣母像被誉为“晋祠三绝 ”。独家赠送：土到掉渣渣的山西民歌，让我们吃着饭，听着民歌，感受最暖的人间烟火。【乔家大院】（游览时间约 1.5 小时）又名“在中堂 ”，是清代有名的商业金融资本家乔致庸的宅第，成排高挂的红灯笼、高高的砖墙、精美的雕刻、漂亮的斗拱飞檐、深邃的巷落。另外，乔家大院内还有三件宝物：万人球、犀牛望月镜、九龙灯也值得一看。【平遥古城】（自由活动，景点小门票 125 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独家赠送:《又见票号》实景演绎，沉浸式穿越百年票号，亲眼见证晋商的辉煌与坚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平遥一运城：4A张壁古堡，4A王家大院(巴士)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 (车程 2KM，大约 10 分钟）【王家大院】 (车程 83KM，大约 1.5小时），后抵达忻州，（车程 230KM，大约 3 小时），入住酒店。【张壁古堡】（游览时间约 1.5 小时）被称为星象第一村，地上明堡，地下暗道，天上星宿，人间张壁。【王家大院】（游览时间约 2 小时），王家大院历经 300 年修建而成，气势和规模在晋商宅院里首屈一指，雕刻艺术精湛，空间格局大气，素有“王家归来不看院 ”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升级特色餐：忻州杂粮宴，忻州被称为“ 中国杂粮之都 ”，忻州杂粮宴，藏着黄土高原的烟火与匠心。莜面栲栳栳、红面鱼鱼、黄米炸糕、藜麦轻食…从田间到餐桌，天然、健康、本味，一口杂粮香，半部忻州味。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运城一昆明(飞机)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早餐后乘车出发，【关帝庙】 (车程 22KM，大约 40 分钟)，【鹳雀楼】（车程 74KM，大约 1 小时），后入住酒店。【鹳雀楼】（游览时间约 1 小时）鹳雀楼为高台式十字歇山顶楼阁，外观 3 层 4 檐，内部为 9 层使用空间，并设置电梯、楼梯组织垂直交通。整座楼阁分为台基和楼身两部分，总高度达 73.9 米，是四大名楼中最高的一座，是中国仿造楼中较为精致的。鹳雀楼整个的油漆彩画，是国内失传的唐代彩画艺术，经过国家文物局的专家多方考察抢救,重新创作设计，故鹳雀楼是国内唯一采用唐代彩画艺术恢复的唐代建筑。【解州关帝庙】（游览时间约 1 小时）“武庙之冠 ”、山西十大旅游景区之一的解州关帝庙。忠义双全、关公故里。中餐升级：解州家宴，呈现各种戏曲、小品、非遗以及器乐演出，让游客在此观演艺、尝美食，在美食中感受文化的熏陶，在文化氛围中品尝饕餮美食。后根据航班时间前往机场送机，结束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昆明-吕梁往返机票、当地空调旅游专用车；（根据人数调整车型，保证每人一个正坐）2.用餐:9早18正餐(十人一桌、八菜一汤，不足十人酌情安排，不用不退)正餐为综合打包价格，不用餐不退，敬请谅解！（五大特色宴：英雄土豆宴，陕北秧歌宴，山西民歌宴，解州家宴，忻州杂粮宴。）3.住宿：全程携程三钻酒店标准间+其中一晚平遥城内4钻客栈（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昆明全陪5.保险：旅游意外保险6.儿童：儿童2岁~12周岁以下含车位、半餐、导服（其余费用一律自理）。温馨提示：赠送项目如因时间紧张或天气原因或景区原因无法进行，此项目不退任何费用。费用不含：1.全程耳麦使用费用100元/人；2.全程需乘坐小交通：220元/人；(雁门关景交10元/人、悬空寺交通20元/人、平遥古城小交通50元/人、山西壶口景区小交通20元/人、雨岔大峡谷景交70元/人、李家山小交通20元/人、云丘山景交20元/人、万年冰洞景交10元/人)3.景区自愿选择乘坐交通：云冈石窟15元/人门票年龄段收：60岁以下：1337元/人60-64岁：385元/人65-69岁：120元/人70岁以上：120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游龙艳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2026/5/20 17:15:10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