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云南洲楞严旅行社有限公司团队/散客确认件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开远万达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汪子程</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ZLY08FJ260506A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2026-05-06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2026-05-06 MU5785 昆明→大同 15:40-18:50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2026-05-13 MU5786 大同→昆明 19:40-23:0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1、王玉兰</w:t>
            </w:r>
          </w:p>
        </w:tc>
        <w:tc>
          <w:tcPr>
            <w:tcW w:w="2310" w:type="dxa"/>
            <w:vAlign w:val="center"/>
            <w:gridSpan w:val="2"/>
          </w:tcPr>
          <w:p>
            <w:pPr/>
            <w:r>
              <w:rPr>
                <w:lang w:val="zh-CN"/>
                <w:rFonts w:ascii="Times New Roman" w:hAnsi="Times New Roman" w:cs="Times New Roman"/>
                <w:sz w:val="20"/>
                <w:szCs w:val="20"/>
                <w:color w:val="000000"/>
              </w:rPr>
              <w:t>532502196301180029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2、王玉芬</w:t>
            </w:r>
          </w:p>
        </w:tc>
        <w:tc>
          <w:tcPr>
            <w:tcW w:w="2310" w:type="dxa"/>
            <w:vAlign w:val="center"/>
            <w:gridSpan w:val="2"/>
          </w:tcPr>
          <w:p>
            <w:pPr/>
            <w:r>
              <w:rPr>
                <w:lang w:val="zh-CN"/>
                <w:rFonts w:ascii="Times New Roman" w:hAnsi="Times New Roman" w:cs="Times New Roman"/>
                <w:sz w:val="20"/>
                <w:szCs w:val="20"/>
                <w:color w:val="000000"/>
              </w:rPr>
              <w:t>53011119561004044X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3、李惠珍</w:t>
            </w:r>
          </w:p>
        </w:tc>
        <w:tc>
          <w:tcPr>
            <w:tcW w:w="2310" w:type="dxa"/>
            <w:vAlign w:val="center"/>
            <w:gridSpan w:val="2"/>
          </w:tcPr>
          <w:p>
            <w:pPr/>
            <w:r>
              <w:rPr>
                <w:lang w:val="zh-CN"/>
                <w:rFonts w:ascii="Times New Roman" w:hAnsi="Times New Roman" w:cs="Times New Roman"/>
                <w:sz w:val="20"/>
                <w:szCs w:val="20"/>
                <w:color w:val="000000"/>
              </w:rPr>
              <w:t>532502196003160089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4、杨迎春</w:t>
            </w:r>
          </w:p>
        </w:tc>
        <w:tc>
          <w:tcPr>
            <w:tcW w:w="2310" w:type="dxa"/>
            <w:vAlign w:val="center"/>
            <w:gridSpan w:val="2"/>
          </w:tcPr>
          <w:p>
            <w:pPr/>
            <w:r>
              <w:rPr>
                <w:lang w:val="zh-CN"/>
                <w:rFonts w:ascii="Times New Roman" w:hAnsi="Times New Roman" w:cs="Times New Roman"/>
                <w:sz w:val="20"/>
                <w:szCs w:val="20"/>
                <w:color w:val="000000"/>
              </w:rPr>
              <w:t>532501196711091225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5、郑桂芬</w:t>
            </w:r>
          </w:p>
        </w:tc>
        <w:tc>
          <w:tcPr>
            <w:tcW w:w="2310" w:type="dxa"/>
            <w:vAlign w:val="center"/>
            <w:gridSpan w:val="2"/>
          </w:tcPr>
          <w:p>
            <w:pPr/>
            <w:r>
              <w:rPr>
                <w:lang w:val="zh-CN"/>
                <w:rFonts w:ascii="Times New Roman" w:hAnsi="Times New Roman" w:cs="Times New Roman"/>
                <w:sz w:val="20"/>
                <w:szCs w:val="20"/>
                <w:color w:val="000000"/>
              </w:rPr>
              <w:t>532502196004200329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6、周丽萍</w:t>
            </w:r>
          </w:p>
        </w:tc>
        <w:tc>
          <w:tcPr>
            <w:tcW w:w="2310" w:type="dxa"/>
            <w:vAlign w:val="center"/>
            <w:gridSpan w:val="2"/>
          </w:tcPr>
          <w:p>
            <w:pPr/>
            <w:r>
              <w:rPr>
                <w:lang w:val="zh-CN"/>
                <w:rFonts w:ascii="Times New Roman" w:hAnsi="Times New Roman" w:cs="Times New Roman"/>
                <w:sz w:val="20"/>
                <w:szCs w:val="20"/>
                <w:color w:val="000000"/>
              </w:rPr>
              <w:t>53250219630909036X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7、李燕萍</w:t>
            </w:r>
          </w:p>
        </w:tc>
        <w:tc>
          <w:tcPr>
            <w:tcW w:w="2310" w:type="dxa"/>
            <w:vAlign w:val="center"/>
            <w:gridSpan w:val="2"/>
          </w:tcPr>
          <w:p>
            <w:pPr/>
            <w:r>
              <w:rPr>
                <w:lang w:val="zh-CN"/>
                <w:rFonts w:ascii="Times New Roman" w:hAnsi="Times New Roman" w:cs="Times New Roman"/>
                <w:sz w:val="20"/>
                <w:szCs w:val="20"/>
                <w:color w:val="000000"/>
              </w:rPr>
              <w:t>53250219630223034X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8、李洪明</w:t>
            </w:r>
          </w:p>
        </w:tc>
        <w:tc>
          <w:tcPr>
            <w:tcW w:w="2310" w:type="dxa"/>
            <w:vAlign w:val="center"/>
            <w:gridSpan w:val="2"/>
          </w:tcPr>
          <w:p>
            <w:pPr/>
            <w:r>
              <w:rPr>
                <w:lang w:val="zh-CN"/>
                <w:rFonts w:ascii="Times New Roman" w:hAnsi="Times New Roman" w:cs="Times New Roman"/>
                <w:sz w:val="20"/>
                <w:szCs w:val="20"/>
                <w:color w:val="000000"/>
              </w:rPr>
              <w:t>532502195610010379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9、雷映云</w:t>
            </w:r>
          </w:p>
        </w:tc>
        <w:tc>
          <w:tcPr>
            <w:tcW w:w="2310" w:type="dxa"/>
            <w:vAlign w:val="center"/>
            <w:gridSpan w:val="2"/>
          </w:tcPr>
          <w:p>
            <w:pPr/>
            <w:r>
              <w:rPr>
                <w:lang w:val="zh-CN"/>
                <w:rFonts w:ascii="Times New Roman" w:hAnsi="Times New Roman" w:cs="Times New Roman"/>
                <w:sz w:val="20"/>
                <w:szCs w:val="20"/>
                <w:color w:val="000000"/>
              </w:rPr>
              <w:t>532502196404120360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10、邹季萍</w:t>
            </w:r>
          </w:p>
        </w:tc>
        <w:tc>
          <w:tcPr>
            <w:tcW w:w="2310" w:type="dxa"/>
            <w:vAlign w:val="center"/>
            <w:gridSpan w:val="2"/>
          </w:tcPr>
          <w:p>
            <w:pPr/>
            <w:r>
              <w:rPr>
                <w:lang w:val="zh-CN"/>
                <w:rFonts w:ascii="Times New Roman" w:hAnsi="Times New Roman" w:cs="Times New Roman"/>
                <w:sz w:val="20"/>
                <w:szCs w:val="20"/>
                <w:color w:val="000000"/>
              </w:rPr>
              <w:t>532502196403170366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11、何坚</w:t>
            </w:r>
          </w:p>
        </w:tc>
        <w:tc>
          <w:tcPr>
            <w:tcW w:w="2310" w:type="dxa"/>
            <w:vAlign w:val="center"/>
            <w:gridSpan w:val="2"/>
          </w:tcPr>
          <w:p>
            <w:pPr/>
            <w:r>
              <w:rPr>
                <w:lang w:val="zh-CN"/>
                <w:rFonts w:ascii="Times New Roman" w:hAnsi="Times New Roman" w:cs="Times New Roman"/>
                <w:sz w:val="20"/>
                <w:szCs w:val="20"/>
                <w:color w:val="000000"/>
              </w:rPr>
              <w:t>53250219601106031X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12、钱林</w:t>
            </w:r>
          </w:p>
        </w:tc>
        <w:tc>
          <w:tcPr>
            <w:tcW w:w="2310" w:type="dxa"/>
            <w:vAlign w:val="center"/>
            <w:gridSpan w:val="2"/>
          </w:tcPr>
          <w:p>
            <w:pPr/>
            <w:r>
              <w:rPr>
                <w:lang w:val="zh-CN"/>
                <w:rFonts w:ascii="Times New Roman" w:hAnsi="Times New Roman" w:cs="Times New Roman"/>
                <w:sz w:val="20"/>
                <w:szCs w:val="20"/>
                <w:color w:val="000000"/>
              </w:rPr>
              <w:t>532502196405310342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13、潘云仙</w:t>
            </w:r>
          </w:p>
        </w:tc>
        <w:tc>
          <w:tcPr>
            <w:tcW w:w="2310" w:type="dxa"/>
            <w:vAlign w:val="center"/>
            <w:gridSpan w:val="2"/>
          </w:tcPr>
          <w:p>
            <w:pPr/>
            <w:r>
              <w:rPr>
                <w:lang w:val="zh-CN"/>
                <w:rFonts w:ascii="Times New Roman" w:hAnsi="Times New Roman" w:cs="Times New Roman"/>
                <w:sz w:val="20"/>
                <w:szCs w:val="20"/>
                <w:color w:val="000000"/>
              </w:rPr>
              <w:t>532502195701280024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14、岳永富</w:t>
            </w:r>
          </w:p>
        </w:tc>
        <w:tc>
          <w:tcPr>
            <w:tcW w:w="2310" w:type="dxa"/>
            <w:vAlign w:val="center"/>
            <w:gridSpan w:val="2"/>
          </w:tcPr>
          <w:p>
            <w:pPr/>
            <w:r>
              <w:rPr>
                <w:lang w:val="zh-CN"/>
                <w:rFonts w:ascii="Times New Roman" w:hAnsi="Times New Roman" w:cs="Times New Roman"/>
                <w:sz w:val="20"/>
                <w:szCs w:val="20"/>
                <w:color w:val="000000"/>
              </w:rPr>
              <w:t>532502195212080013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15、刘家骏</w:t>
            </w:r>
          </w:p>
        </w:tc>
        <w:tc>
          <w:tcPr>
            <w:tcW w:w="2310" w:type="dxa"/>
            <w:vAlign w:val="center"/>
            <w:gridSpan w:val="2"/>
          </w:tcPr>
          <w:p>
            <w:pPr/>
            <w:r>
              <w:rPr>
                <w:lang w:val="zh-CN"/>
                <w:rFonts w:ascii="Times New Roman" w:hAnsi="Times New Roman" w:cs="Times New Roman"/>
                <w:sz w:val="20"/>
                <w:szCs w:val="20"/>
                <w:color w:val="000000"/>
              </w:rPr>
              <w:t>532522196408242117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16、尹正香</w:t>
            </w:r>
          </w:p>
        </w:tc>
        <w:tc>
          <w:tcPr>
            <w:tcW w:w="2310" w:type="dxa"/>
            <w:vAlign w:val="center"/>
            <w:gridSpan w:val="2"/>
          </w:tcPr>
          <w:p>
            <w:pPr/>
            <w:r>
              <w:rPr>
                <w:lang w:val="zh-CN"/>
                <w:rFonts w:ascii="Times New Roman" w:hAnsi="Times New Roman" w:cs="Times New Roman"/>
                <w:sz w:val="20"/>
                <w:szCs w:val="20"/>
                <w:color w:val="000000"/>
              </w:rPr>
              <w:t>532502196606021520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17、汪子程</w:t>
            </w:r>
          </w:p>
        </w:tc>
        <w:tc>
          <w:tcPr>
            <w:tcW w:w="2310" w:type="dxa"/>
            <w:vAlign w:val="center"/>
            <w:gridSpan w:val="2"/>
          </w:tcPr>
          <w:p>
            <w:pPr/>
            <w:r>
              <w:rPr>
                <w:lang w:val="zh-CN"/>
                <w:rFonts w:ascii="Times New Roman" w:hAnsi="Times New Roman" w:cs="Times New Roman"/>
                <w:sz w:val="20"/>
                <w:szCs w:val="20"/>
                <w:color w:val="000000"/>
              </w:rPr>
              <w:t>532526198611201710</w:t>
            </w:r>
          </w:p>
        </w:tc>
        <w:tc>
          <w:tcPr>
            <w:tcW w:w="2310" w:type="dxa"/>
            <w:vAlign w:val="center"/>
          </w:tcPr>
          <w:p>
            <w:pPr/>
            <w:r>
              <w:rPr>
                <w:lang w:val="zh-CN"/>
                <w:rFonts w:ascii="Times New Roman" w:hAnsi="Times New Roman" w:cs="Times New Roman"/>
                <w:sz w:val="20"/>
                <w:szCs w:val="20"/>
                <w:color w:val="000000"/>
              </w:rPr>
              <w:t>19187356518</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47680.00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领队</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旅拍费用</w:t>
            </w:r>
          </w:p>
        </w:tc>
        <w:tc>
          <w:tcPr>
            <w:tcW w:w="2310" w:type="dxa"/>
          </w:tcPr>
          <w:p>
            <w:pPr/>
            <w:r>
              <w:rPr>
                <w:lang w:val="zh-CN"/>
                <w:rFonts w:ascii="Times New Roman" w:hAnsi="Times New Roman" w:cs="Times New Roman"/>
                <w:sz w:val="20"/>
                <w:szCs w:val="20"/>
                <w:color w:val="000000"/>
              </w:rPr>
              <w:t>15</w:t>
            </w:r>
          </w:p>
        </w:tc>
        <w:tc>
          <w:tcPr>
            <w:tcW w:w="2310" w:type="dxa"/>
          </w:tcPr>
          <w:p>
            <w:pPr/>
            <w:r>
              <w:rPr>
                <w:lang w:val="zh-CN"/>
                <w:rFonts w:ascii="Times New Roman" w:hAnsi="Times New Roman" w:cs="Times New Roman"/>
                <w:sz w:val="20"/>
                <w:szCs w:val="20"/>
                <w:color w:val="000000"/>
              </w:rPr>
              <w:t>68.00</w:t>
            </w:r>
          </w:p>
        </w:tc>
        <w:tc>
          <w:tcPr>
            <w:tcW w:w="2310" w:type="dxa"/>
          </w:tcPr>
          <w:p>
            <w:pPr/>
            <w:r>
              <w:rPr>
                <w:lang w:val="zh-CN"/>
                <w:rFonts w:ascii="Times New Roman" w:hAnsi="Times New Roman" w:cs="Times New Roman"/>
                <w:sz w:val="20"/>
                <w:szCs w:val="20"/>
                <w:color w:val="000000"/>
              </w:rPr>
              <w:t>1020.00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总金额：肆万捌仟柒佰元整</w:t>
            </w:r>
          </w:p>
        </w:tc>
        <w:tc>
          <w:tcPr>
            <w:tcW w:w="2310" w:type="dxa"/>
            <w:textDirection w:val="right"/>
            <w:gridSpan w:val="3"/>
          </w:tcPr>
          <w:p>
            <w:pPr/>
            <w:r>
              <w:rPr>
                <w:lang w:val="zh-CN"/>
                <w:rFonts w:ascii="Times New Roman" w:hAnsi="Times New Roman" w:cs="Times New Roman"/>
                <w:b/>
                <w:color w:val="FF0000"/>
              </w:rPr>
              <w:t>48700.00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2026/05/06</w:t>
            </w:r>
          </w:p>
        </w:tc>
        <w:tc>
          <w:tcPr>
            <w:tcW w:w="2310" w:type="dxa"/>
            <w:gridSpan w:val="7"/>
          </w:tcPr>
          <w:p>
            <w:pPr/>
            <w:r>
              <w:rPr>
                <w:lang w:val="zh-CN"/>
                <w:rFonts w:ascii="Times New Roman" w:hAnsi="Times New Roman" w:cs="Times New Roman"/>
                <w:b/>
                <w:color w:val="000000"/>
              </w:rPr>
              <w:t>昆明-大同(飞机)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乘机前往大同，接团后前往素有“三代华京 ，两朝重镇 ”之称【大同古城墙】 ，大同古城墙位于大同市中心区域 ，是我国现存较为完整的一座古代城垣建筑， 为国家 AAAA 级景区 ，省级重点文物保护单位。 大同古称平城、云中。战国为赵国重镇，北魏于398年迁都平城（今大同），历时近百年；后为辽、金陪都，明清是北方军事重镇，有“北方锁钥”的美誉。它是首批国家历史文化名城、中国九大古都之一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早餐：不含；午餐：不含；晚餐：含；住宿：大同</w:t>
            </w:r>
          </w:p>
        </w:tc>
      </w:tr>
      <w:tr>
        <w:tc>
          <w:tcPr>
            <w:tcW w:w="2310" w:type="dxa"/>
            <w:vAlign w:val="center"/>
            <w:vMerge w:val="restart"/>
          </w:tcPr>
          <w:p>
            <w:pPr/>
            <w:r>
              <w:rPr>
                <w:lang w:val="zh-CN"/>
                <w:rFonts w:ascii="Times New Roman" w:hAnsi="Times New Roman" w:cs="Times New Roman"/>
                <w:sz w:val="20"/>
                <w:szCs w:val="20"/>
                <w:color w:val="000000"/>
              </w:rPr>
              <w:t>2026/05/07</w:t>
            </w:r>
          </w:p>
        </w:tc>
        <w:tc>
          <w:tcPr>
            <w:tcW w:w="2310" w:type="dxa"/>
            <w:gridSpan w:val="7"/>
          </w:tcPr>
          <w:p>
            <w:pPr/>
            <w:r>
              <w:rPr>
                <w:lang w:val="zh-CN"/>
                <w:rFonts w:ascii="Times New Roman" w:hAnsi="Times New Roman" w:cs="Times New Roman"/>
                <w:b/>
                <w:color w:val="000000"/>
              </w:rPr>
              <w:t>大同-忻州(巴士)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世界建筑的奇迹，国内仅存的释，道，儒三教合一的独特寺庙【悬空寺】，国家AAAA级旅游区，位于山西省大同市浑源县恒山金龙峡西侧翠屏峰峭壁间，原叫“玄空阁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千米”，“玄”取自于中国道教教理，“空”则来源于佛教的教理，后改名为“悬空寺”，是因为整座寺院就像悬挂在悬崖上，在汉语中，“悬  ”与“玄”同音，因此得名。悬空寺始建于北魏后期(公元491年),距今已有一千五百多年，建筑极具特色，以如临深渊的险峻而著称，素有“悬空寺，半天高，三根马尾空中吊”的俚语，以如临深渊的险峻而著称。前往【忻州古城】，晋北锁钥，三关总要，距今1800多年的历史，位于山西省忻州市忻府区兴寺街。忻州古城持续推动文旅产业深度融合，形成了集忻州14个县（市、区）特色风物、地域文化及典型院落于一体的特色商业街区，被称为全国最“傻”的古城。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2026/05/08</w:t>
            </w:r>
          </w:p>
        </w:tc>
        <w:tc>
          <w:tcPr>
            <w:tcW w:w="2310" w:type="dxa"/>
            <w:gridSpan w:val="7"/>
          </w:tcPr>
          <w:p>
            <w:pPr/>
            <w:r>
              <w:rPr>
                <w:lang w:val="zh-CN"/>
                <w:rFonts w:ascii="Times New Roman" w:hAnsi="Times New Roman" w:cs="Times New Roman"/>
                <w:b/>
                <w:color w:val="000000"/>
              </w:rPr>
              <w:t>忻州临汾(巴士)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早餐后乘车前往【王家大院】  ,王家大院位于山西省灵石县城东12公里处的中国历史文化名镇静升镇。距世界文化遗产平遥古城35公里、介休绵山4公里。王家大院是由静升王氏家族经明清两朝、历300余年修建而成，包括五巷六堡一条街，总面积达25万平方米，而且是一座具有传统文化特色的建筑艺术博物馆。 游览后前往【张壁古堡】，张壁古堡，位于山西省介休市龙凤镇张壁村，始建于十六国时期，建筑面积12000平方米。张壁古堡遵循中国传统星相和堪舆理念建造，村名的来由也源于二十八星宿之张宿、壁宿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早餐：含；午餐：含；晚餐：含；住宿：临汾</w:t>
            </w:r>
          </w:p>
        </w:tc>
      </w:tr>
      <w:tr>
        <w:tc>
          <w:tcPr>
            <w:tcW w:w="2310" w:type="dxa"/>
            <w:vAlign w:val="center"/>
            <w:vMerge w:val="restart"/>
          </w:tcPr>
          <w:p>
            <w:pPr/>
            <w:r>
              <w:rPr>
                <w:lang w:val="zh-CN"/>
                <w:rFonts w:ascii="Times New Roman" w:hAnsi="Times New Roman" w:cs="Times New Roman"/>
                <w:sz w:val="20"/>
                <w:szCs w:val="20"/>
                <w:color w:val="000000"/>
              </w:rPr>
              <w:t>2026/05/09</w:t>
            </w:r>
          </w:p>
        </w:tc>
        <w:tc>
          <w:tcPr>
            <w:tcW w:w="2310" w:type="dxa"/>
            <w:gridSpan w:val="7"/>
          </w:tcPr>
          <w:p>
            <w:pPr/>
            <w:r>
              <w:rPr>
                <w:lang w:val="zh-CN"/>
                <w:rFonts w:ascii="Times New Roman" w:hAnsi="Times New Roman" w:cs="Times New Roman"/>
                <w:b/>
                <w:color w:val="000000"/>
              </w:rPr>
              <w:t>临汾-运城(巴士)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早餐后前往【关帝庙】，关帝庙是中国祭祀三国时期蜀将关羽 的庙宇，位于山西省运城市解州镇西关，庙堂有牌坊七座，殿阁六重，以两道围墙环绕。南部为结义园, 由牌坊、君子亭、三义阁、假山、环廊等组成。前往参观【舜帝陵】  ，景区占地1778亩，分舜帝大道、舜帝广场、舜帝 公园、舜帝陵庙四大部分，为中华民族“五帝”之一的舜帝的陵庙。陵冢启于禹时，陵庙始建于唐开元二十六年（738年）。景区内松柏苍翠、百花争艳、波光潋滟、道路阡陌。景观水系贯穿南北，皋、夔、稷、契四座拱桥与湖光山色交相辉映，无不彰显北方园林建造者的智慧。后乘车前往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运城-襄汾/临汾(巴士)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早餐：含；午餐：含；晚餐：含；住宿：襄汾/临汾</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襄汾/临汾-平遥(巴士)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后参观【平遥古城】（免门票，城内小景点60岁以上免费，60岁以下如想参观，需补门票125元），畅游两百年前中国的华尔街---明清一条街，可自行游览平遥古城， 欣赏城墙、街道、民居、店铺等建筑，基本上保持着原有的古城格局这里可以找到不少晋商遗下的古玩珍藏；夜幕降临，万家灯火让古城褪去了白日的喧嚣，变得古香古色绚丽多姿。四合院里，明清街上，不时有拿着长枪短炮的摄影爱好者徜徉在其中，这座有着 2700 多年历史的古城再次焕发出独特的魅力。平遥古城观赏夜景，畅游云路民俗风情街，迷人的灯光点缀在古色古香的明清建筑上，是现代文明和历史文化的融合！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平遥-原平(巴士)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早餐后前往后乘车至祁县乔家堡村【乔家大院】 ，乔家大院陈展有5000多件珍贵文物，集中 反映了以山西晋中一带为主的民情风俗；陈列有农俗、人生仪礼、岁时节令、衣食住行、商俗、民间工艺；还设立有乔家史料、乔家珍宝、影视专题等的陈列。乔家大院是一座 雄伟壮观的建筑群体，设计之精巧，工艺之精细，体现了中国清代民居建筑的独特风格，具有相当高的观赏、科研和历史价值，是一座无与伦比的艺术宝库，被称为“北方民居 建筑的一颗明珠” ，素有“皇家有故宫，民宅看乔家”之说 ，名扬三晋，誉满海内外。晋祠】 ，晋祠博物馆，位于山西省太原市晋源区晋祠镇晋祠公园内，距离市中心25千米，占地面积 12000平方米，建筑面积25000平方米，库房面积 1000平方米，隶属太原市文物局，是一座集文物保护、学术研究、陈列展览、安全保卫、景区建设、重要接待及社会教育于一体的地方综合类博物馆。后前往龙兴之福地、吸晴之热土，《满江红》取景地【太原古县城】，太原古县城 作为太原故城，始建于春秋中晚期，历经秦、汉、三国南北朝隋唐五代，从建成到焚毁历经一千余年，在全国都城遗址中独具特色。周、秦、汉、隋唐、北宋乃至元、明、清等王朝的京畿重地，均处山西左右，山西首郡晋阳则始终居于中央的肘腋地位。历史上，先后有15位帝王在这里文治武功。这里是名副其实的龙兴之地，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原平-大同(飞机)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前往游览【雁门关】，雁门关位于中国山西省忻州市代县县城以北约20公里处的雁门山中，是长城上的重要关隘，以“险”著称，被誉为“中华第一关”，有“天下九塞，雁门为首”之说。与宁武关、偏关合称为“外三关”，是国家AAAAA级旅游景区。后参观世界上最著名的石窟之一【云冈石窟】，云冈石窟原名灵岩寺、石佛寺。位于山西省大同市西郊武州山南麓，武州川北岸。武州山最高处称云冈，故名云冈石窟。北魏统治者崇尚佛教，广建寺宇，大开石窟。此石窟群的主要部分皆完成于北魏迁都洛阳之前，约自和平元年至太和十八年(460-494)。石窟依山开凿，东西绵延1千米。根据航班时间前往昆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大交通：昆明-大同往返机票经济舱团队票；车：当地空调旅游车，保证一人一正座；住宿：全程精选网评3钻酒店，升级一晚网评5钻酒店，平遥住一晚网评3钻当地民俗客栈酒店。用餐：全程7早当地14正餐30-40餐标。导游：持证中文导游全程服务费用不含；、门票根据年龄现补导游：60岁以下：967元（关帝庙60+云丘山20+冰洞120+张壁古堡75+小西天35+乔家大院92+晋祠80+悬空寺首道15+云冈石窟120+五台山135+雁门关90+王家大院55+舜帝陵20+鹳雀楼50）60-69周岁：177元（云丘山20+冰洞120+张壁古堡37）70周岁以上：120元（云丘山冰洞120）2.需乘小交通290/人（报名即代表同意此费用，随团款或者交导游，谢谢）（平遥古城50+雁门关10+云丘山30+悬空寺20=110元，耳麦：全程160/人）各大景区已经推行“绿色讲解”，在旅游景区及寺院内等公共场所禁止使用扩音器等高噪音设备；强制必须使用耳麦，感谢配合3.自愿景区交通：云冈石窟电瓶车15+晋祠电瓶车20+舜帝陵电瓶车20（根据自身体力选择乘坐）4.其他费用(1)旅途中一切个人消费（如酒店洗衣、电话、收费电视、酒水等）。(2)团费包含的内容中未注明或行程内注明费用自理的项目。(3)不含旅游人身意外伤害保险，建议客人自行为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汪子程</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2026/5/13 11:44:17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