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1、李正科</w:t>
            </w:r>
          </w:p>
        </w:tc>
        <w:tc>
          <w:tcPr>
            <w:tcW w:w="2310" w:type="dxa"/>
            <w:vAlign w:val="center"/>
            <w:gridSpan w:val="2"/>
          </w:tcPr>
          <w:p>
            <w:pPr/>
            <w:r>
              <w:rPr>
                <w:lang w:val="zh-CN"/>
                <w:rFonts w:ascii="Times New Roman" w:hAnsi="Times New Roman" w:cs="Times New Roman"/>
                <w:sz w:val="20"/>
                <w:szCs w:val="20"/>
                <w:color w:val="000000"/>
              </w:rPr>
              <w:t>530112196301130514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2、敖彩鹤</w:t>
            </w:r>
          </w:p>
        </w:tc>
        <w:tc>
          <w:tcPr>
            <w:tcW w:w="2310" w:type="dxa"/>
            <w:vAlign w:val="center"/>
            <w:gridSpan w:val="2"/>
          </w:tcPr>
          <w:p>
            <w:pPr/>
            <w:r>
              <w:rPr>
                <w:lang w:val="zh-CN"/>
                <w:rFonts w:ascii="Times New Roman" w:hAnsi="Times New Roman" w:cs="Times New Roman"/>
                <w:sz w:val="20"/>
                <w:szCs w:val="20"/>
                <w:color w:val="000000"/>
              </w:rPr>
              <w:t>530112196812010549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6760.00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998.00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残疾证退票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-488.00</w:t>
            </w:r>
          </w:p>
        </w:tc>
        <w:tc>
          <w:tcPr>
            <w:tcW w:w="2310" w:type="dxa"/>
          </w:tcPr>
          <w:p>
            <w:pPr/>
            <w:r>
              <w:rPr>
                <w:lang w:val="zh-CN"/>
                <w:rFonts w:ascii="Times New Roman" w:hAnsi="Times New Roman" w:cs="Times New Roman"/>
                <w:sz w:val="20"/>
                <w:szCs w:val="20"/>
                <w:color w:val="000000"/>
              </w:rPr>
              <w:t>-488.00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总金额：捌仟零伍拾陆元整</w:t>
            </w:r>
          </w:p>
        </w:tc>
        <w:tc>
          <w:tcPr>
            <w:tcW w:w="2310" w:type="dxa"/>
            <w:textDirection w:val="right"/>
            <w:gridSpan w:val="3"/>
          </w:tcPr>
          <w:p>
            <w:pPr/>
            <w:r>
              <w:rPr>
                <w:lang w:val="zh-CN"/>
                <w:rFonts w:ascii="Times New Roman" w:hAnsi="Times New Roman" w:cs="Times New Roman"/>
                <w:b/>
                <w:color w:val="FF0000"/>
              </w:rPr>
              <w:t>8056.00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17:41:21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