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安宁昆钢门店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柳杰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ZLY19TR240607A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6.7纵横东北双卧19天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1、党雁</w:t>
            </w:r>
          </w:p>
        </w:tc>
        <w:tc>
          <w:tcPr>
            <w:tcW w:w="2310" w:type="dxa"/>
            <w:vAlign w:val="center"/>
            <w:gridSpan w:val="2"/>
          </w:tcPr>
          <w:p>
            <w:pPr/>
            <w:r>
              <w:rPr>
                <w:lang w:val="zh-CN"/>
                <w:rFonts w:ascii="Times New Roman" w:hAnsi="Times New Roman" w:cs="Times New Roman"/>
                <w:sz w:val="20"/>
                <w:szCs w:val="20"/>
                <w:color w:val="000000"/>
              </w:rPr>
              <w:t>610202196304052825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3380.00</w:t>
            </w:r>
          </w:p>
        </w:tc>
        <w:tc>
          <w:tcPr>
            <w:tcW w:w="2310" w:type="dxa"/>
          </w:tcPr>
          <w:p>
            <w:pPr/>
            <w:r>
              <w:rPr>
                <w:lang w:val="zh-CN"/>
                <w:rFonts w:ascii="Times New Roman" w:hAnsi="Times New Roman" w:cs="Times New Roman"/>
                <w:sz w:val="20"/>
                <w:szCs w:val="20"/>
                <w:color w:val="000000"/>
              </w:rPr>
              <w:t>3380.00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总金额：叁仟叁佰捌拾元整</w:t>
            </w:r>
          </w:p>
        </w:tc>
        <w:tc>
          <w:tcPr>
            <w:tcW w:w="2310" w:type="dxa"/>
            <w:textDirection w:val="right"/>
            <w:gridSpan w:val="3"/>
          </w:tcPr>
          <w:p>
            <w:pPr/>
            <w:r>
              <w:rPr>
                <w:lang w:val="zh-CN"/>
                <w:rFonts w:ascii="Times New Roman" w:hAnsi="Times New Roman" w:cs="Times New Roman"/>
                <w:b/>
                <w:color w:val="FF0000"/>
              </w:rPr>
              <w:t>3380.00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2024/06/07</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2024/06/08</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2024/06/09</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2024/06/10</w:t>
            </w:r>
          </w:p>
        </w:tc>
        <w:tc>
          <w:tcPr>
            <w:tcW w:w="2310" w:type="dxa"/>
            <w:gridSpan w:val="7"/>
          </w:tcPr>
          <w:p>
            <w:pPr/>
            <w:r>
              <w:rPr>
                <w:lang w:val="zh-CN"/>
                <w:rFonts w:ascii="Times New Roman" w:hAnsi="Times New Roman" w:cs="Times New Roman"/>
                <w:b/>
                <w:color w:val="000000"/>
              </w:rPr>
              <w:t>沈阳—丹东—河口(汽车大巴)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2024/06/11</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w:t>
            </w:r>
          </w:p>
        </w:tc>
      </w:tr>
      <w:tr>
        <w:tc>
          <w:tcPr>
            <w:tcW w:w="2310" w:type="dxa"/>
            <w:vAlign w:val="center"/>
            <w:vMerge w:val="restart"/>
          </w:tcPr>
          <w:p>
            <w:pPr/>
            <w:r>
              <w:rPr>
                <w:lang w:val="zh-CN"/>
                <w:rFonts w:ascii="Times New Roman" w:hAnsi="Times New Roman" w:cs="Times New Roman"/>
                <w:sz w:val="20"/>
                <w:szCs w:val="20"/>
                <w:color w:val="000000"/>
              </w:rPr>
              <w:t>2024/06/12</w:t>
            </w:r>
          </w:p>
        </w:tc>
        <w:tc>
          <w:tcPr>
            <w:tcW w:w="2310" w:type="dxa"/>
            <w:gridSpan w:val="7"/>
          </w:tcPr>
          <w:p>
            <w:pPr/>
            <w:r>
              <w:rPr>
                <w:lang w:val="zh-CN"/>
                <w:rFonts w:ascii="Times New Roman" w:hAnsi="Times New Roman" w:cs="Times New Roman"/>
                <w:b/>
                <w:color w:val="000000"/>
              </w:rPr>
              <w:t>二道白河—长白山—延吉(汽车大巴)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早餐：含；午餐：含；晚餐：含；住宿：延吉</w:t>
            </w:r>
          </w:p>
        </w:tc>
      </w:tr>
      <w:tr>
        <w:tc>
          <w:tcPr>
            <w:tcW w:w="2310" w:type="dxa"/>
            <w:vAlign w:val="center"/>
            <w:vMerge w:val="restart"/>
          </w:tcPr>
          <w:p>
            <w:pPr/>
            <w:r>
              <w:rPr>
                <w:lang w:val="zh-CN"/>
                <w:rFonts w:ascii="Times New Roman" w:hAnsi="Times New Roman" w:cs="Times New Roman"/>
                <w:sz w:val="20"/>
                <w:szCs w:val="20"/>
                <w:color w:val="000000"/>
              </w:rPr>
              <w:t>2024/06/13</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2024/06/14</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齐齐哈尔—牙克石/海拉尔(汽车大巴)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早餐：含；午餐：含；晚餐：含；住宿：牙克石/ 海拉尔</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 根河</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北极村—加格达奇(汽车大巴)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五大连池—长春(汽车大巴)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哈尔滨，抵达酒店后休息，晚餐可于哈尔滨可以选择自行品尝当地特色风味小吃；【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哈尔滨，抵达酒店后休息，晚餐可于哈尔滨可以选择自行品尝当地特色风味小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长春—沈阳(汽车大巴)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沈阳—昆明(汽车大巴)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或火车返回家乡，结束愉快旅程！祝您工作生活一切顺利~欢迎您再来东北！【温馨提示】我社安排24小时送机服务，敬请放心！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或火车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沈阳—昆明(火车)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乘火车返回家乡，结束愉快旅程！祝您工作生活一切顺利~欢迎您再来东北！【温馨提示】我社安排24小时送机服务，敬请放心！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沈阳—昆明(火车)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乘火车返回家乡，结束愉快旅程！祝您工作生活一切顺利~欢迎您再来东北！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柳杰</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2024/6/3 16:30:19</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