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日新路众信</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郎昭</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西出玉门·千回西域南北疆全景双飞15天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中转 2025-06-04 CA2541 成都→昆明 21:45-23:15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2025-06-20 CA2542 昆明→成都中转 09:05-10:30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中转 2025-06-20 CA2505 成都→乌鲁木齐 13:00-17:10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2025-07-04 CA2526 喀什→成都 12:35-17:0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1、任全周</w:t>
            </w:r>
          </w:p>
        </w:tc>
        <w:tc>
          <w:tcPr>
            <w:tcW w:w="2310" w:type="dxa"/>
            <w:vAlign w:val="center"/>
            <w:gridSpan w:val="2"/>
          </w:tcPr>
          <w:p>
            <w:pPr/>
            <w:r>
              <w:rPr>
                <w:lang w:val="zh-CN"/>
                <w:rFonts w:ascii="Times New Roman" w:hAnsi="Times New Roman" w:cs="Times New Roman"/>
                <w:sz w:val="20"/>
                <w:szCs w:val="20"/>
                <w:color w:val="000000"/>
              </w:rPr>
              <w:t>532322195706290023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2、普荃凤</w:t>
            </w:r>
          </w:p>
        </w:tc>
        <w:tc>
          <w:tcPr>
            <w:tcW w:w="2310" w:type="dxa"/>
            <w:vAlign w:val="center"/>
            <w:gridSpan w:val="2"/>
          </w:tcPr>
          <w:p>
            <w:pPr/>
            <w:r>
              <w:rPr>
                <w:lang w:val="zh-CN"/>
                <w:rFonts w:ascii="Times New Roman" w:hAnsi="Times New Roman" w:cs="Times New Roman"/>
                <w:sz w:val="20"/>
                <w:szCs w:val="20"/>
                <w:color w:val="000000"/>
              </w:rPr>
              <w:t>532322196212100044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3、李玉琼</w:t>
            </w:r>
          </w:p>
        </w:tc>
        <w:tc>
          <w:tcPr>
            <w:tcW w:w="2310" w:type="dxa"/>
            <w:vAlign w:val="center"/>
            <w:gridSpan w:val="2"/>
          </w:tcPr>
          <w:p>
            <w:pPr/>
            <w:r>
              <w:rPr>
                <w:lang w:val="zh-CN"/>
                <w:rFonts w:ascii="Times New Roman" w:hAnsi="Times New Roman" w:cs="Times New Roman"/>
                <w:sz w:val="20"/>
                <w:szCs w:val="20"/>
                <w:color w:val="000000"/>
              </w:rPr>
              <w:t>532322197005040047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4、李艳梅</w:t>
            </w:r>
          </w:p>
        </w:tc>
        <w:tc>
          <w:tcPr>
            <w:tcW w:w="2310" w:type="dxa"/>
            <w:vAlign w:val="center"/>
            <w:gridSpan w:val="2"/>
          </w:tcPr>
          <w:p>
            <w:pPr/>
            <w:r>
              <w:rPr>
                <w:lang w:val="zh-CN"/>
                <w:rFonts w:ascii="Times New Roman" w:hAnsi="Times New Roman" w:cs="Times New Roman"/>
                <w:sz w:val="20"/>
                <w:szCs w:val="20"/>
                <w:color w:val="000000"/>
              </w:rPr>
              <w:t>532322197004040061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5、李玉芬</w:t>
            </w:r>
          </w:p>
        </w:tc>
        <w:tc>
          <w:tcPr>
            <w:tcW w:w="2310" w:type="dxa"/>
            <w:vAlign w:val="center"/>
            <w:gridSpan w:val="2"/>
          </w:tcPr>
          <w:p>
            <w:pPr/>
            <w:r>
              <w:rPr>
                <w:lang w:val="zh-CN"/>
                <w:rFonts w:ascii="Times New Roman" w:hAnsi="Times New Roman" w:cs="Times New Roman"/>
                <w:sz w:val="20"/>
                <w:szCs w:val="20"/>
                <w:color w:val="000000"/>
              </w:rPr>
              <w:t>532322196901200323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6、杨秀华</w:t>
            </w:r>
          </w:p>
        </w:tc>
        <w:tc>
          <w:tcPr>
            <w:tcW w:w="2310" w:type="dxa"/>
            <w:vAlign w:val="center"/>
            <w:gridSpan w:val="2"/>
          </w:tcPr>
          <w:p>
            <w:pPr/>
            <w:r>
              <w:rPr>
                <w:lang w:val="zh-CN"/>
                <w:rFonts w:ascii="Times New Roman" w:hAnsi="Times New Roman" w:cs="Times New Roman"/>
                <w:sz w:val="20"/>
                <w:szCs w:val="20"/>
                <w:color w:val="000000"/>
              </w:rPr>
              <w:t>532322195812020027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7、郭菊华</w:t>
            </w:r>
          </w:p>
        </w:tc>
        <w:tc>
          <w:tcPr>
            <w:tcW w:w="2310" w:type="dxa"/>
            <w:vAlign w:val="center"/>
            <w:gridSpan w:val="2"/>
          </w:tcPr>
          <w:p>
            <w:pPr/>
            <w:r>
              <w:rPr>
                <w:lang w:val="zh-CN"/>
                <w:rFonts w:ascii="Times New Roman" w:hAnsi="Times New Roman" w:cs="Times New Roman"/>
                <w:sz w:val="20"/>
                <w:szCs w:val="20"/>
                <w:color w:val="000000"/>
              </w:rPr>
              <w:t>532322196609211527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8、李涛</w:t>
            </w:r>
          </w:p>
        </w:tc>
        <w:tc>
          <w:tcPr>
            <w:tcW w:w="2310" w:type="dxa"/>
            <w:vAlign w:val="center"/>
            <w:gridSpan w:val="2"/>
          </w:tcPr>
          <w:p>
            <w:pPr/>
            <w:r>
              <w:rPr>
                <w:lang w:val="zh-CN"/>
                <w:rFonts w:ascii="Times New Roman" w:hAnsi="Times New Roman" w:cs="Times New Roman"/>
                <w:sz w:val="20"/>
                <w:szCs w:val="20"/>
                <w:color w:val="000000"/>
              </w:rPr>
              <w:t>532322197309080021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9、杞菊芳</w:t>
            </w:r>
          </w:p>
        </w:tc>
        <w:tc>
          <w:tcPr>
            <w:tcW w:w="2310" w:type="dxa"/>
            <w:vAlign w:val="center"/>
            <w:gridSpan w:val="2"/>
          </w:tcPr>
          <w:p>
            <w:pPr/>
            <w:r>
              <w:rPr>
                <w:lang w:val="zh-CN"/>
                <w:rFonts w:ascii="Times New Roman" w:hAnsi="Times New Roman" w:cs="Times New Roman"/>
                <w:sz w:val="20"/>
                <w:szCs w:val="20"/>
                <w:color w:val="000000"/>
              </w:rPr>
              <w:t>532322196807010523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10、赵春丽</w:t>
            </w:r>
          </w:p>
        </w:tc>
        <w:tc>
          <w:tcPr>
            <w:tcW w:w="2310" w:type="dxa"/>
            <w:vAlign w:val="center"/>
            <w:gridSpan w:val="2"/>
          </w:tcPr>
          <w:p>
            <w:pPr/>
            <w:r>
              <w:rPr>
                <w:lang w:val="zh-CN"/>
                <w:rFonts w:ascii="Times New Roman" w:hAnsi="Times New Roman" w:cs="Times New Roman"/>
                <w:sz w:val="20"/>
                <w:szCs w:val="20"/>
                <w:color w:val="000000"/>
              </w:rPr>
              <w:t>530111196003060021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11、李秀芝</w:t>
            </w:r>
          </w:p>
        </w:tc>
        <w:tc>
          <w:tcPr>
            <w:tcW w:w="2310" w:type="dxa"/>
            <w:vAlign w:val="center"/>
            <w:gridSpan w:val="2"/>
          </w:tcPr>
          <w:p>
            <w:pPr/>
            <w:r>
              <w:rPr>
                <w:lang w:val="zh-CN"/>
                <w:rFonts w:ascii="Times New Roman" w:hAnsi="Times New Roman" w:cs="Times New Roman"/>
                <w:sz w:val="20"/>
                <w:szCs w:val="20"/>
                <w:color w:val="000000"/>
              </w:rPr>
              <w:t>532322196612291724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12、黎云波</w:t>
            </w:r>
          </w:p>
        </w:tc>
        <w:tc>
          <w:tcPr>
            <w:tcW w:w="2310" w:type="dxa"/>
            <w:vAlign w:val="center"/>
            <w:gridSpan w:val="2"/>
          </w:tcPr>
          <w:p>
            <w:pPr/>
            <w:r>
              <w:rPr>
                <w:lang w:val="zh-CN"/>
                <w:rFonts w:ascii="Times New Roman" w:hAnsi="Times New Roman" w:cs="Times New Roman"/>
                <w:sz w:val="20"/>
                <w:szCs w:val="20"/>
                <w:color w:val="000000"/>
              </w:rPr>
              <w:t>532322196709020728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13、杨如慧</w:t>
            </w:r>
          </w:p>
        </w:tc>
        <w:tc>
          <w:tcPr>
            <w:tcW w:w="2310" w:type="dxa"/>
            <w:vAlign w:val="center"/>
            <w:gridSpan w:val="2"/>
          </w:tcPr>
          <w:p>
            <w:pPr/>
            <w:r>
              <w:rPr>
                <w:lang w:val="zh-CN"/>
                <w:rFonts w:ascii="Times New Roman" w:hAnsi="Times New Roman" w:cs="Times New Roman"/>
                <w:sz w:val="20"/>
                <w:szCs w:val="20"/>
                <w:color w:val="000000"/>
              </w:rPr>
              <w:t>532322196712270728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14、汪江</w:t>
            </w:r>
          </w:p>
        </w:tc>
        <w:tc>
          <w:tcPr>
            <w:tcW w:w="2310" w:type="dxa"/>
            <w:vAlign w:val="center"/>
            <w:gridSpan w:val="2"/>
          </w:tcPr>
          <w:p>
            <w:pPr/>
            <w:r>
              <w:rPr>
                <w:lang w:val="zh-CN"/>
                <w:rFonts w:ascii="Times New Roman" w:hAnsi="Times New Roman" w:cs="Times New Roman"/>
                <w:sz w:val="20"/>
                <w:szCs w:val="20"/>
                <w:color w:val="000000"/>
              </w:rPr>
              <w:t>532331196304150037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15、周洁</w:t>
            </w:r>
          </w:p>
        </w:tc>
        <w:tc>
          <w:tcPr>
            <w:tcW w:w="2310" w:type="dxa"/>
            <w:vAlign w:val="center"/>
            <w:gridSpan w:val="2"/>
          </w:tcPr>
          <w:p>
            <w:pPr/>
            <w:r>
              <w:rPr>
                <w:lang w:val="zh-CN"/>
                <w:rFonts w:ascii="Times New Roman" w:hAnsi="Times New Roman" w:cs="Times New Roman"/>
                <w:sz w:val="20"/>
                <w:szCs w:val="20"/>
                <w:color w:val="000000"/>
              </w:rPr>
              <w:t>532322196609050065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16、倪虹</w:t>
            </w:r>
          </w:p>
        </w:tc>
        <w:tc>
          <w:tcPr>
            <w:tcW w:w="2310" w:type="dxa"/>
            <w:vAlign w:val="center"/>
            <w:gridSpan w:val="2"/>
          </w:tcPr>
          <w:p>
            <w:pPr/>
            <w:r>
              <w:rPr>
                <w:lang w:val="zh-CN"/>
                <w:rFonts w:ascii="Times New Roman" w:hAnsi="Times New Roman" w:cs="Times New Roman"/>
                <w:sz w:val="20"/>
                <w:szCs w:val="20"/>
                <w:color w:val="000000"/>
              </w:rPr>
              <w:t>532322197210060047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11960.00</w:t>
            </w:r>
          </w:p>
        </w:tc>
        <w:tc>
          <w:tcPr>
            <w:tcW w:w="2310" w:type="dxa"/>
          </w:tcPr>
          <w:p>
            <w:pPr/>
            <w:r>
              <w:rPr>
                <w:lang w:val="zh-CN"/>
                <w:rFonts w:ascii="Times New Roman" w:hAnsi="Times New Roman" w:cs="Times New Roman"/>
                <w:sz w:val="20"/>
                <w:szCs w:val="20"/>
                <w:color w:val="000000"/>
              </w:rPr>
              <w:t>191360.00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22号机票损失</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喀什旅拍</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总金额：壹拾玖万肆仟肆佰陆拾元整</w:t>
            </w:r>
          </w:p>
        </w:tc>
        <w:tc>
          <w:tcPr>
            <w:tcW w:w="2310" w:type="dxa"/>
            <w:textDirection w:val="right"/>
            <w:gridSpan w:val="3"/>
          </w:tcPr>
          <w:p>
            <w:pPr/>
            <w:r>
              <w:rPr>
                <w:lang w:val="zh-CN"/>
                <w:rFonts w:ascii="Times New Roman" w:hAnsi="Times New Roman" w:cs="Times New Roman"/>
                <w:b/>
                <w:color w:val="FF0000"/>
              </w:rPr>
              <w:t>194460.00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昆明 - 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指定时间/地点，搭乘大交通（时间待定）前往“歌舞之乡·瓜果之乡·黄金玉石之邦”新疆维吾尔自 治区首府【乌鲁木齐】俗话说“没到过新疆之大不知中国之大，没见过新疆之美不知中国之美”， 广博的新疆自治区占地面积有中国的六分之一 ；沿途欣赏祖国大好河山...温馨提示：1.请务必携带身份证原件；2.出行前通知：工作人员将在您出发前一天以短信或电话方式告知接团事宜，请保持电话畅通（如 逾时未接到确认电话，请与当地紧急联系人确认，谢谢） ；3.接站时可能会有等待时间产生，敬请谅解；4.新疆与内地时差2小时，新疆作息参考时间： 9:30-10:00上班，14:00午饭，20:00晚饭；5.新疆4.5.6.7.8.9.10月份天气不稳定，气候有明显变化，温差较大；一旦遇到下雨天，温度骤 降；出游之前请您提前准备厚衣物（厚毛衣、羽绒服、冲锋衣） ，以防感冒；6.司机或导游可根据实际情况在不减少行程和不影响观赏性情况下对浏览顺序进行调整；请谅解！7.如抵达酒店比较早，办理入住可能需要耐心等待，敬请谅解（建议您可以在酒店内稍作休息）。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乌鲁木齐 天山天池 -大巴扎-千回西域-乌鲁木齐（约100公里 ，行车约1.5小时）(巴士)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早餐后，乘车前往游览国家AAAAA级景区，瑶池仙境、西王母千年守望、水怪传说【天山天池】（游览时间约180分钟）新疆之旅必去最具代表性高山湖泊！我们一路穿越天池八景之一石门一 线、西小天池，车览天池第二景龙潭碧月碧绿的湖水，远处的雪山，环绕的云杉，让你忍不住赶紧 用相机记录下这美好的时刻，紧接着我们下车后，徒步抵达天池湖边，观天池八景中的定海神针、 南山望雪、西山观松，了解王母娘娘在天池湖畔宴请周穆王的美丽传说，欣赏天池秀美的风光；领 略天池精华所在悬泉飞瀑、东小天池欣赏可以和九寨沟媲美的高山湖泊风光；自由漫步天池西岸海西木栈道，从另一个角度体验天池独特魅力；乘车前往乌鲁木齐，游览新疆国际大巴扎位于新疆维吾尔自治区乌鲁木齐市天山区解放南路，新疆国际大巴扎荟萃了3000余家商铺，是集特色建筑、民俗风情、风味美食、餐饮娱乐等为一体的景区，有“新疆之窗”“中亚之窗”的美誉。 后前往新疆大剧院观看【千回西域】表演，新疆大剧院历经两年编排推出的大型室内实景民族歌舞秀《千回西域》，是新疆乃至全国最高水准的立体全景式主题演出剧目。它将古西域乐舞、丝路历史文化、新疆各民族歌舞风情有机融合，形成独特创新的空间表演艺术，打造新疆歌舞之乡世界级品牌。后入住酒店休息。温馨提示：1》天池旺季排队时间较长，请提前做好准备；2》天山天池海拔高气温低，即使夏季也偏凉爽，请提前备好防寒衣物，备好雨具防雨防晒； 3》天山天池景区内有观光索道（费用220元）等景区内娱乐体验项目，自愿自理；4》沿着盘山公路盘旋而上 ，一路植被繁茂、溪流潺潺；有晕车的朋友请提前准备晕车药。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早餐：含；午餐：含；晚餐：含；住宿：汽车大巴</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乌鲁木齐-五彩滩-布尔津（约500公里 ，行车约6小时）(巴士)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早餐后，趁车前往游览乘旅游车  下山前往然后前往素有天下第一滩美称的【五彩滩】（游览时间约60分钟） ，欣赏五彩斑斓、如 梦似幻的五彩滩美景。位于新疆北端阿勒泰地区布尔津县境内，地处我国唯一注入北冰洋的额   尔齐斯河北岸的一、二级阶地上，往哈巴河县方向；该处海拔480米，一河两岸，两岸景不同，是国家4A级景区，其地貌特殊，长期干燥地带，属于典型的彩色丘陵（或彩丘地貌），为阿勒泰旅游的点睛之笔，受到游人青睐。后乘车前往入住酒店休息。  温馨提示：1》景区内条件有限，消费价格较贵，当天用餐条件非常有限，请做好心理准备；2》温差大，注意添衣物，即使夏天也应准备保暖外套 ；  3》景区人多而杂，团友自行游览时贵重财物务必保管好。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布尔津-喀纳斯-禾木（约200公里 ，行车约3小时）(巴士)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餐后，趁车前往游览国家AAAAA级景区，被誉为“人间净土、 自然界天堂”【喀纳斯风景区】（游览时间约240分钟）新疆最著名的景点之一，这里每一朵花，每一棵树，每一片湖都是纯天然   形成，没有一丝人工打造痕迹，换乘喀纳斯湖区间车沿喀纳斯河游览驼颈湾、花楸谷、【卧龙湾】  【月亮湾】【神仙湾】（这3个景点为下车拍照参观，乘坐过路区间车前往下一个景点）在神奇画   卷中赏蓝天、绿水、青山、雪岭、交相辉映，湖光山色一步一景、一处一画神奇喀纳斯；仿佛置身 东方瑞士炫美风光之中，尽享神仙后花园里飘逸、优美不悠闲；后乘车前往酒店入住酒店休息。 ，出发前往有着神的自留地后花园之称的古老淳朴—禾木村古村落，一路阿尔 泰山自然景色及美丽的禾木山间森林草原，禾木河山谷自然风光，傍晚时分可前往洪巴斯日落观景 平台欣赏禾木日落美景，欣赏夕阳西下炊烟袅袅的图瓦村落，古朴的禾木图瓦村尽收眼底、景色怡 人，人间尤其美好，日落尤为温柔。入住禾木小木屋，自由活动。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早餐：含；午餐：含；晚餐：含；住宿：禾木</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禾木  乌尔禾（约190公里 ，行车约3小时）(巴士)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早七可登上禾木观景台，在炊烟袅袅、羊群片片、牧人回归之时，走在小桥、溪水、 白桦林、小木 屋点缀的五彩斑斓的禾木乡净土世界里，亲历指环王中《矮人夏尔国》的天堂美景，禾木村是保持 着最完整民族传统的图瓦人的聚集地，原始的山野风光，禾木河穿越流淌流淌，原始落村、 白桦林、雪山、大草原、蓝天白云与独特文化景观和谐自然融为一体；在这里享受宁静时光.禾木村的房子全是原木搭建而成的，充满了原始的味道， 早晨炊烟冉冉升起，形成一条梦幻般的烟雾带，胜似仙境；可徒步攀登禾木观景平台（成吉思汗点将台）俯看禾木村以及禾木河的全景：空谷幽灵、小桥流水、牧马羊群从林间扬尘而过……，禾木村也通常称为禾木乡，是大草原 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后乘车前往入住酒店休息。温馨提示：1》景区内条件有限，消费价格较贵，当天用餐条件非常有限，请做好心理准备；2》温差大，注意添衣物，即使夏天也应准备保暖外套 ；  3》景区人多而杂，团友自行游览时贵重财物务必保管好。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乌尔禾 世界魔鬼城 精河/双河（约470公里 ，行车约5.5小时）(巴士)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早餐后，乘车前往游览新晋国家AAAAA级景区“神奇西北100景之”【世界魔鬼城】（游览时间约 120分钟）卧虎藏龙拍摄地，其形状蔚然壮观，神秘莫测，形成了一个梦幻般的迷宫世界 ，是世界 一大奇观；在大自然鬼斧神工长期作用下，形成一个梦幻般的迷宫世界，由于风雨剥蚀，地面形成 深浅不一的沟壑，裸露的石层被狂风雕琢得奇形怪状，在起伏的山坡上，布满血红、湛蓝、洁白、 橙黄的各色石子，宛如魔女遗珠，更增添了几许神密色彩，内城地处风口，四季多风，在这里会感 受人类的渺小，感叹大自然鬼斧神工；穿越时空隧道，寻找那远古遗落的梦！入住酒店休息。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屯  塞里木湖 双河/精河（约460公里 ，行车约5.5小时）(巴士)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早起餐后出发前往奇沟飞桥果子沟，【果子沟大桥】是一条北上赛里木湖，南下伊犁河谷的著名峡 谷孔道，它宜人的风景被誉为“伊犁第一景”，车览亚洲最大跨度的跨山斜拉桥（由于交通原因不 能停车）。水草丰美，风景如画的【赛里木湖】（参观约120分钟）它像一颗璀璨的蓝宝石高悬于 西天山之间的断陷盆地中，湖中群山环绕，天水相映，春夏季节，湖畔广阔的草地上，牧草如茵、 黄花遍地、牛羊如云、牧歌悠悠、毡房点点、构成一幅充满诗情画意的古丝路画卷，可以使人们充分领略回归自然的浪漫情怀与塞外独特的民族文化，赛湖长期以来还流传着湖怪、湖心风洞、旋涡与湖底磁场等传说，这给美丽的赛里木湖又蒙上了一层极富想象力的神秘面纱。 游览伊犁特色产业【薰衣草庄园】，游览因其浪漫的色彩和芬芳的花穗，素有“芳香药草之后 ”美誉的薰衣草。温馨提示：1》新疆地区日照时间长，光线较强，温差大，一定要带外套和长裤。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早餐：含；午餐：含；晚餐：含；住宿：精河/双河</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精河/双河 独库公路北段  那拉提镇（约300公里 ，行车约5小时）(巴士)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游览后换乘7座商务车，穿越【独库公路北段】，它是一条名副其实的景观大道，被誉为“ 中国 最美公路 ”。【唐布拉百里画廊】 行驶在路上，能体会到“五里不同景、十里不同天 ” ，一天内 经历四季的变化，欣赏到雪山 、 峡谷 、河流 、草原 、湿地等多样的风景 。这条公路横穿天山山 脉，横跨无数河流和峡谷，是无数旅行爱好者前往新疆必来的圣地。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早餐：含；午餐：含；晚餐：含；住宿：那拉提镇</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那拉提镇 那拉提大草原  巴音镇（约120公里 ，行车约2小时）(巴士)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乘车前往世界四大草原之一所在地-那拉提大草原，游览【那拉提大草原】（游览时间约120分钟） 换乘区间车赴景区车览巩乃斯河谷原始森林，这里有中国最美的雪岭云杉。适逢花期一路上更是山 花烂漫，蜂飞蝶舞，帐篷点点，草原上万紫千红，各种鲜花竞相开放，走进大草原如同进入一个广 阔的梦境，一簇簇、一片片的花海争相怒放，美得让人不舍离开，漫步在花海中，迎面飘来的花香 沁人心脾，小风车，游乐场，玻璃栈道等景点更是添了几分乐趣！亦可感受草原的辽阔、平坦，还 可看到成群的牛羊如同朵朵白云，让您真实领略到美丽的塞外风光。进入草原后欣赏一片繁花织锦 的莽莽草原，犹如进入了另一个世界，云开日出。那拉提草原是世界四大草原之一的亚高山草甸植 物区 ，自古以来就是著名的牧场，具有平展的河谷、高峻的山峰，深峡纵横、森林繁茂、草原舒展 交相辉映，并同当地哈萨克民俗风情结合在一起，成为集观光、游览、科学考察、休闲娱乐、避暑 度假的旅游观光度假区。后乘车穿越【独库公路】（中段） ，横亘崇山峻岭，穿越深山峡谷，连接 了众多少数民族聚居区。它的贯通，使得南北疆路程由原来的1000多公里缩短了近一半，堪称是中 国公路建设史上的一座丰碑。如画如屏层峦叠翠，一步一景麦田云杉，草原雪山、敖包和牛羊群， 山坡上青翠的云衫绿草，在雪峰的辉映下层层叠叠，使人心旷神怡，流连忘返。沿途植被茂密的天 山、浩瀚的草原和美丽的游牧风情。温馨提示：1》那拉提景区内有骑马/雪莲谷等景区内娱乐体验项目，自愿自理；2》今天在路上的时间相对较长，请提前做好补给；3》南北疆气温差异很大、南疆相对北疆干燥要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早餐：含；午餐：含；晚餐：含；住宿：巴音镇</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巴音镇 巴音布鲁克  天山神秘大峡谷  库车（约260公里 ，行车约6小时）(巴士)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早餐后乘车前往【巴音布鲁克草原】（游览时间约180分钟），一路经过高速，戈壁、荒漠 ，城镇， 国道进入天山腹地，尽情捕捉天山深处的美景。抵达景区后可自由欣赏翩翩起舞的天鹅 ，游   逛在新疆的高山草原之上，远眺天鹅湖的多姿、看开都河的源头【九曲十八湾】的美景、享受迷人 的世外佳景，零距离感受湖水、天光、云影、天鹅构成的自然画卷 和蒙古牧民生活风情。亲密接   触大自然，放飞心情。天鹅湖实际上是由众多相互串联的小湖组成的大面积沼泽地 ，这是全国第一 个天鹅自然保护区、也是我国最大的天鹅保护区。后乘车前往那拉提镇，一路车览天山深处鲜为人 知的达坂路风光 ，陶醉与大自然的五彩斑斓，满足视觉的所有需求，看山川起伏，览绿地如织，赏蓝天白云。乘车穿越【独库公路】（南段）途中蓝天白云侧身为伴，一路前行，翻越天山腹地， 一路上风景不停地变换，从森林草原，到高山草甸，再到寸草不生；高天流云，群峰之雪常年不化, 环形公路前后蜿蜒盘旋，如一条卧龙矗立在云中之巅。翻越险要的天山山脉，你会发现刚才还是山  清水秀，此刻已是“火焰地带”，谷侧奇峰嶙峋，争相崛起，峰峦叠嶂，劈地摩天，崖奇石峭，磅  礴神奇。展现了“一日游四季、十里不同天”的壮美奇景。游览当今中国十大最美峡谷的【天山神  秘大峡谷】（游览时间约90分钟），庞大的红色山体群形成于距今1.4亿年前的中生代的白垩纪 ， 经亿万年的风剥雨蚀，洪流冲刷，远看如诗如画，近瞧若人似物，神韵万端。尤以谷口处的三座山  体(乃头山、丽人山、佛面山)最为壮观。特别在夕阳斜射，朝霞映山，极目远眺，色艳红天。大有   不是火焰山，胜似火焰山之奇感，是古丝绸之路黄金旅游线上新增的一颗璀璨的明珠。是各位摄影  爱好者必到的打卡地，也是研究地质构造、地壳运动绝好的题材。抵达酒店后办理入住。温馨提示：1》今天在路上的时间相对较长，请提前做好补给；2》南北疆气温差异很大、南疆相对北疆干燥要多喝水。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2025/06/30</w:t>
            </w:r>
          </w:p>
        </w:tc>
        <w:tc>
          <w:tcPr>
            <w:tcW w:w="2310" w:type="dxa"/>
            <w:gridSpan w:val="7"/>
          </w:tcPr>
          <w:p>
            <w:pPr/>
            <w:r>
              <w:rPr>
                <w:lang w:val="zh-CN"/>
                <w:rFonts w:ascii="Times New Roman" w:hAnsi="Times New Roman" w:cs="Times New Roman"/>
                <w:b/>
                <w:color w:val="000000"/>
              </w:rPr>
              <w:t>库车 温宿大峡谷  阿克苏（约300公里 ，行车约4小时）(巴士)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早餐后游览【热斯坦老街】 。热斯坦老街位于库车老城区，是库车市现存为数不多的还保存着民族特色的老居民区。是一处备受游客喜欢和青睐的特色之地，在这里可以感受到西域文明的生活状态和原貌，在这里你可以想象到汉唐时期的繁盛和喧嚣，更能呈现出一幅和谐、温馨、惬意的其乐融 融的场面。前往【温宿大峡谷】（游览时间约120分钟）曾是通往南北天山古代驿路木扎尔特古道 的必经之地，传说玄奘西天取经从此路过。温宿大峡谷是2600万年前内陆湖泊沉积形成的地层。在 而后的千万年中，暴雨、洪水持续不断地冲刷、溶解，西部强烈的劲风不停地吹蚀，沉积层在其共 同的作用下，最终形成为岩盐喀斯特地貌和峡谷雅丹地貌为代表的温宿大峡谷地质遗迹和地质景 观。温宿大峡谷两侧奇异的群峰耸立，溯峡谷上行 ，大峡谷相继分为多条较大的分支峡谷，在漫长 的地质年代中，风和水的侵蚀把地层切割各种形态。峡谷中崖壁上深刻着岩层的层理，受地壳变化 挤压形成的弯曲线条和扭曲褶皱。入住酒店休息。温馨提示：1》南疆气温差异很大、南疆相对北疆干燥要多喝水。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早餐：含；午餐：含；晚餐：含；住宿：阿克苏</w:t>
            </w:r>
          </w:p>
        </w:tc>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阿克苏 沙漠公路  和田夜市（约550公里 ，行车约7小时）(巴士)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早餐后，乘车前往阿拉尔，途中穿越荒无人烟的【沙漠公路】（ 因穿行沙漠公路行程时间较长，建议客人安排一些零食/面包/牛奶等）。被称为“死亡之海 ”的塔克拉玛干沙漠是中国最大的沙 漠、世界第十大沙漠，同时也是仅次于阿拉伯半岛的鲁 卜哈利沙漠的世界第二大流动沙漠，被评 为“最神秘、最具有诱惑力 ”的塔克拉玛干大沙漠（塔克拉玛干沙漠被评为中国五个最美的沙漠 之一 ），深入塔克拉玛干大沙漠腹地。前往和田，抵达之后可自行前往【和田夜市】，玉泉河公 园南端的和田夜市人群熙熙攘攘，红柳羊肉串、酸奶粽子、玫瑰烤馕、炭火烤鸽子 … …各种勾人 味蕾的特色小吃令人目不暇接。夜市里的大多数商户都是和田特色美食的传承人，这里最能体现 和田人的热情好客，彰显和田的人文性格，夜市已经成为文化和旅游的一张名片，是来和田必到 的“打卡地 ”。入住酒店休息！温馨提示：1》今天在路上的时间相对较长，请提前做好补给；2》南北疆气温差异很大、南疆相对北疆干燥要多喝水。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2025/07/02</w:t>
            </w:r>
          </w:p>
        </w:tc>
        <w:tc>
          <w:tcPr>
            <w:tcW w:w="2310" w:type="dxa"/>
            <w:gridSpan w:val="7"/>
          </w:tcPr>
          <w:p>
            <w:pPr/>
            <w:r>
              <w:rPr>
                <w:lang w:val="zh-CN"/>
                <w:rFonts w:ascii="Times New Roman" w:hAnsi="Times New Roman" w:cs="Times New Roman"/>
                <w:b/>
                <w:color w:val="000000"/>
              </w:rPr>
              <w:t>和田  喀什古城  喀什（约500公里 ，行车约6小时）(巴士)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早餐后乘车前往喀什，抵达后参观【艾提尕尔清真寺】（游览时间约60分钟），意为节日礼拜场所，为中国最大的清真寺。艾提尕大清真寺不仅是新疆地区宗教活动的重要场所，在古代还是 传播伊斯兰文化和培养人才的重要学府，天山南北以致中亚地区许多教阶较高的伊斯兰教神职人员和学者都从这里毕业，其他还有更多的有影响的诗人、文学家、史学家和翻译家早年也在此受过严格的学业培训。建国后，寺内一些德高望重的爱国守法宗教人士，还被各界人士推举为人民代表和 政协委员，同时又埋头著书立说，为新疆的历史与宗教研究贡献力量。也是重点文物保护单位。乘 车前往喀什市区唯一保存的古老民居集中地【喀什古城】（游览时间约120分钟），观看开城仪 式。“不到喀什就不算到了新疆，不到古城就不算到喀什” 喀什老城是中国唯一的以伊斯兰文化为特色的迷宫式城市街区，历经2000多年的风霜雨雪，被誉为“最后的西域，活着的化石 ”。走进 老城，就穿越了时光。丝路驼铃声声，赋予生土墙间每一寸凸起与凹陷历史的轻喃，多元文化涂抹 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早餐：含；午餐：含；晚餐：不含；住宿：喀什地区</w:t>
            </w:r>
          </w:p>
        </w:tc>
      </w:tr>
      <w:tr>
        <w:tc>
          <w:tcPr>
            <w:tcW w:w="2310" w:type="dxa"/>
            <w:vAlign w:val="center"/>
            <w:vMerge w:val="restart"/>
          </w:tcPr>
          <w:p>
            <w:pPr/>
            <w:r>
              <w:rPr>
                <w:lang w:val="zh-CN"/>
                <w:rFonts w:ascii="Times New Roman" w:hAnsi="Times New Roman" w:cs="Times New Roman"/>
                <w:sz w:val="20"/>
                <w:szCs w:val="20"/>
                <w:color w:val="000000"/>
              </w:rPr>
              <w:t>2025/07/03</w:t>
            </w:r>
          </w:p>
        </w:tc>
        <w:tc>
          <w:tcPr>
            <w:tcW w:w="2310" w:type="dxa"/>
            <w:gridSpan w:val="7"/>
          </w:tcPr>
          <w:p>
            <w:pPr/>
            <w:r>
              <w:rPr>
                <w:lang w:val="zh-CN"/>
                <w:rFonts w:ascii="Times New Roman" w:hAnsi="Times New Roman" w:cs="Times New Roman"/>
                <w:b/>
                <w:color w:val="000000"/>
              </w:rPr>
              <w:t>喀什 喀拉库勒湖  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早餐后，乘车从喀什出发沿着314国道可欣赏维吾尔族农家田园风光，市井文化，进入峡谷时，可 看到山体一派暗红而后逐渐变得苍黑的盖孜大峡谷，随后可远眺到有南疆火焰山之称的奥依塔克红  山。驱车前往白沙山白沙河，途中过盖孜检查站，后抵达今日第一个目的地，素有流沙河之称的【白沙河】及鬼斧神工的布伦口【白沙山】，可在此摄影拍照赏景。行进在海拔三千多米的盖孜峡 谷中。喀喇昆仑公路像一条玉带，沿着盖孜河在盖孜峡谷中穿梭着，眼前的景色又变成了绵延不绝 的荒山雪岭。正被荒山雪岭弄得有点审美疲劳的我们，被前面突然出现的美丽湖泊给重新打起了精 神。这个湖泊就是【布伦口白沙湖】体表面附着的白沙经过了数万年风化，在帕米尔高原洁静的阳 光下，闪耀着金属般的光泽。湖水在天空、 白沙和雪山的综合作用下呈现出一种别样的蓝，深邃的 蓝，非常迷人。乘车前往帕米尔高原上的【卡拉库里湖】（游览时间约60分钟）位于“冰川之父”慕士塔格峰脚下，随着天气变幻莫测，湖水时而碧绿柔美，时而黑褐深沉，时而银灰、湛蓝、 橘红      倒映着帕米尔的地标之一——慕士塔格峰，雄伟中又带着一丝柔美静朗。面对纯净雪山， 平静心绪，回归自然，随后乘车返回酒店入住。温馨提示：1》喀什噶尔为边境口岸城市，中巴友谊公路，卡拉库勒湖等特色体验景点，需办理边境通行证； 2》喀拉库勒湖为高海拔湖泊，游览时不要跑动 ；3》新疆4月-11月为旅游旺季，不保证入住喀什市区，也可能入住喀什地区周边。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喀什-昆明(飞机)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指定时间送团 ，结束愉快新疆之旅，回到温馨的家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餐：全程12早24正（团餐+特色餐相结合，平均餐标35元/餐，人数不足10人酌情上菜（新疆地处西北地区，用餐条件无法与内地比较，敬请谅解）。2、住宿：全程2晚4钻酒店+7晚3钻酒店+3晚临景区酒店，酒店；如遇特殊原因（政府征用/酒店原因等不可抗力因素），调换同级标准酒店，酒店不提供三人间或加床；（为提倡环保，酒店不提供一次性用品）。3、用车：全程选用2+1空调旅游大巴车，让您的旅途更舒适！4、导游：选派优秀专业导游随团服务，当地专车专导。5、儿童：2-11岁（不含）含座位/半餐/导服/保险，不含床位及早餐，不含门票，费用自理。。6、赠送项目不参加或如遇特殊情况取消费用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郎昭</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2025/6/19 14:12:26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