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张海</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ZLY19TR250610A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6.10东北全景双卧19天（通辽版）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2025-06-10 Z326 昆明→沈阳北 20:26出发-6月12日19:25抵</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1、蒋先萍</w:t>
            </w:r>
          </w:p>
        </w:tc>
        <w:tc>
          <w:tcPr>
            <w:tcW w:w="2310" w:type="dxa"/>
            <w:vAlign w:val="center"/>
            <w:gridSpan w:val="2"/>
          </w:tcPr>
          <w:p>
            <w:pPr/>
            <w:r>
              <w:rPr>
                <w:lang w:val="zh-CN"/>
                <w:rFonts w:ascii="Times New Roman" w:hAnsi="Times New Roman" w:cs="Times New Roman"/>
                <w:sz w:val="20"/>
                <w:szCs w:val="20"/>
                <w:color w:val="000000"/>
              </w:rPr>
              <w:t>532329196812060044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2、李加良</w:t>
            </w:r>
          </w:p>
        </w:tc>
        <w:tc>
          <w:tcPr>
            <w:tcW w:w="2310" w:type="dxa"/>
            <w:vAlign w:val="center"/>
            <w:gridSpan w:val="2"/>
          </w:tcPr>
          <w:p>
            <w:pPr/>
            <w:r>
              <w:rPr>
                <w:lang w:val="zh-CN"/>
                <w:rFonts w:ascii="Times New Roman" w:hAnsi="Times New Roman" w:cs="Times New Roman"/>
                <w:sz w:val="20"/>
                <w:szCs w:val="20"/>
                <w:color w:val="000000"/>
              </w:rPr>
              <w:t>532329196207260718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3、宋继芬</w:t>
            </w:r>
          </w:p>
        </w:tc>
        <w:tc>
          <w:tcPr>
            <w:tcW w:w="2310" w:type="dxa"/>
            <w:vAlign w:val="center"/>
            <w:gridSpan w:val="2"/>
          </w:tcPr>
          <w:p>
            <w:pPr/>
            <w:r>
              <w:rPr>
                <w:lang w:val="zh-CN"/>
                <w:rFonts w:ascii="Times New Roman" w:hAnsi="Times New Roman" w:cs="Times New Roman"/>
                <w:sz w:val="20"/>
                <w:szCs w:val="20"/>
                <w:color w:val="000000"/>
              </w:rPr>
              <w:t>532329196008180328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4、张海</w:t>
            </w:r>
          </w:p>
        </w:tc>
        <w:tc>
          <w:tcPr>
            <w:tcW w:w="2310" w:type="dxa"/>
            <w:vAlign w:val="center"/>
            <w:gridSpan w:val="2"/>
          </w:tcPr>
          <w:p>
            <w:pPr/>
            <w:r>
              <w:rPr>
                <w:lang w:val="zh-CN"/>
                <w:rFonts w:ascii="Times New Roman" w:hAnsi="Times New Roman" w:cs="Times New Roman"/>
                <w:sz w:val="20"/>
                <w:szCs w:val="20"/>
                <w:color w:val="000000"/>
              </w:rPr>
              <w:t>532329197812131716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5、杨智忠</w:t>
            </w:r>
          </w:p>
        </w:tc>
        <w:tc>
          <w:tcPr>
            <w:tcW w:w="2310" w:type="dxa"/>
            <w:vAlign w:val="center"/>
            <w:gridSpan w:val="2"/>
          </w:tcPr>
          <w:p>
            <w:pPr/>
            <w:r>
              <w:rPr>
                <w:lang w:val="zh-CN"/>
                <w:rFonts w:ascii="Times New Roman" w:hAnsi="Times New Roman" w:cs="Times New Roman"/>
                <w:sz w:val="20"/>
                <w:szCs w:val="20"/>
                <w:color w:val="000000"/>
              </w:rPr>
              <w:t>532329196612051119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6、李学武</w:t>
            </w:r>
          </w:p>
        </w:tc>
        <w:tc>
          <w:tcPr>
            <w:tcW w:w="2310" w:type="dxa"/>
            <w:vAlign w:val="center"/>
            <w:gridSpan w:val="2"/>
          </w:tcPr>
          <w:p>
            <w:pPr/>
            <w:r>
              <w:rPr>
                <w:lang w:val="zh-CN"/>
                <w:rFonts w:ascii="Times New Roman" w:hAnsi="Times New Roman" w:cs="Times New Roman"/>
                <w:sz w:val="20"/>
                <w:szCs w:val="20"/>
                <w:color w:val="000000"/>
              </w:rPr>
              <w:t>532329195805080018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7、李国会</w:t>
            </w:r>
          </w:p>
        </w:tc>
        <w:tc>
          <w:tcPr>
            <w:tcW w:w="2310" w:type="dxa"/>
            <w:vAlign w:val="center"/>
            <w:gridSpan w:val="2"/>
          </w:tcPr>
          <w:p>
            <w:pPr/>
            <w:r>
              <w:rPr>
                <w:lang w:val="zh-CN"/>
                <w:rFonts w:ascii="Times New Roman" w:hAnsi="Times New Roman" w:cs="Times New Roman"/>
                <w:sz w:val="20"/>
                <w:szCs w:val="20"/>
                <w:color w:val="000000"/>
              </w:rPr>
              <w:t>532329196604161748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8、张桂菊</w:t>
            </w:r>
          </w:p>
        </w:tc>
        <w:tc>
          <w:tcPr>
            <w:tcW w:w="2310" w:type="dxa"/>
            <w:vAlign w:val="center"/>
            <w:gridSpan w:val="2"/>
          </w:tcPr>
          <w:p>
            <w:pPr/>
            <w:r>
              <w:rPr>
                <w:lang w:val="zh-CN"/>
                <w:rFonts w:ascii="Times New Roman" w:hAnsi="Times New Roman" w:cs="Times New Roman"/>
                <w:sz w:val="20"/>
                <w:szCs w:val="20"/>
                <w:color w:val="000000"/>
              </w:rPr>
              <w:t>532329196503121720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9、吴佳会</w:t>
            </w:r>
          </w:p>
        </w:tc>
        <w:tc>
          <w:tcPr>
            <w:tcW w:w="2310" w:type="dxa"/>
            <w:vAlign w:val="center"/>
            <w:gridSpan w:val="2"/>
          </w:tcPr>
          <w:p>
            <w:pPr/>
            <w:r>
              <w:rPr>
                <w:lang w:val="zh-CN"/>
                <w:rFonts w:ascii="Times New Roman" w:hAnsi="Times New Roman" w:cs="Times New Roman"/>
                <w:sz w:val="20"/>
                <w:szCs w:val="20"/>
                <w:color w:val="000000"/>
              </w:rPr>
              <w:t>532329197108012326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38240.00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全陪火车票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1260.00</w:t>
            </w:r>
          </w:p>
        </w:tc>
        <w:tc>
          <w:tcPr>
            <w:tcW w:w="2310" w:type="dxa"/>
          </w:tcPr>
          <w:p>
            <w:pPr/>
            <w:r>
              <w:rPr>
                <w:lang w:val="zh-CN"/>
                <w:rFonts w:ascii="Times New Roman" w:hAnsi="Times New Roman" w:cs="Times New Roman"/>
                <w:sz w:val="20"/>
                <w:szCs w:val="20"/>
                <w:color w:val="000000"/>
              </w:rPr>
              <w:t>1260.00</w:t>
            </w:r>
          </w:p>
        </w:tc>
        <w:tc>
          <w:tcPr>
            <w:tcW w:w="2310" w:type="dxa"/>
            <w:gridSpan w:val="2"/>
          </w:tcPr>
          <w:p>
            <w:pPr/>
            <w:r>
              <w:rPr>
                <w:lang w:val="zh-CN"/>
                <w:rFonts w:ascii="Times New Roman" w:hAnsi="Times New Roman" w:cs="Times New Roman"/>
                <w:sz w:val="20"/>
                <w:szCs w:val="20"/>
                <w:color w:val="000000"/>
              </w:rPr>
              <w:t>陈海只收火车票钱</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总金额：叁万玖仟伍佰元整</w:t>
            </w:r>
          </w:p>
        </w:tc>
        <w:tc>
          <w:tcPr>
            <w:tcW w:w="2310" w:type="dxa"/>
            <w:textDirection w:val="right"/>
            <w:gridSpan w:val="3"/>
          </w:tcPr>
          <w:p>
            <w:pPr/>
            <w:r>
              <w:rPr>
                <w:lang w:val="zh-CN"/>
                <w:rFonts w:ascii="Times New Roman" w:hAnsi="Times New Roman" w:cs="Times New Roman"/>
                <w:b/>
                <w:color w:val="FF0000"/>
              </w:rPr>
              <w:t>39500.00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昆明前往沈阳(火车)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今日安排：尊敬的贵宾您好！欢迎您参加此次旅行！请在出团当日提前120 分钟抵达火车站，前往素有“一朝发祥地‘二代帝王都“之称的中国老东北工业基地辽宁省省会——【沈阳】。品味张学良传奇人生，为即将开启的东北任我行做好充分准备.参考车次：昆明站-沈阳北Z326 次第1 天20:30-第3 天早19:25（实际以出票为准）温馨提示：1、车次信息以出团通知为准；请刷身份证乘坐火车。（16周岁以下的儿童若无身份证原件请携带户口本原件）。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沈阳—温馨的家今日(巴士)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火车前往沈阳(火车)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沿途欣赏美丽的风景、晚上19：25 左右抵达沈阳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沿途欣赏美丽的风景(火车)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抵达出发地，结束东北之旅！(火车)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早10：23 分左右火车抵达出发地，带着满满的东北回忆回到温馨的家！餐饮：无酒店：温馨的家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2025/6/7 11:19:53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