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安宁中旺</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古凌</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ZLY16FJ250614A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6.14狂飙南北疆双飞1卧16日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9(9大)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1、余庆华</w:t>
            </w:r>
          </w:p>
        </w:tc>
        <w:tc>
          <w:tcPr>
            <w:tcW w:w="2310" w:type="dxa"/>
            <w:vAlign w:val="center"/>
            <w:gridSpan w:val="2"/>
          </w:tcPr>
          <w:p>
            <w:pPr/>
            <w:r>
              <w:rPr>
                <w:lang w:val="zh-CN"/>
                <w:rFonts w:ascii="Times New Roman" w:hAnsi="Times New Roman" w:cs="Times New Roman"/>
                <w:sz w:val="20"/>
                <w:szCs w:val="20"/>
                <w:color w:val="000000"/>
              </w:rPr>
              <w:t>530123195305243940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2、潘泉</w:t>
            </w:r>
          </w:p>
        </w:tc>
        <w:tc>
          <w:tcPr>
            <w:tcW w:w="2310" w:type="dxa"/>
            <w:vAlign w:val="center"/>
            <w:gridSpan w:val="2"/>
          </w:tcPr>
          <w:p>
            <w:pPr/>
            <w:r>
              <w:rPr>
                <w:lang w:val="zh-CN"/>
                <w:rFonts w:ascii="Times New Roman" w:hAnsi="Times New Roman" w:cs="Times New Roman"/>
                <w:sz w:val="20"/>
                <w:szCs w:val="20"/>
                <w:color w:val="000000"/>
              </w:rPr>
              <w:t>530123195101103911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3、毕成丽</w:t>
            </w:r>
          </w:p>
        </w:tc>
        <w:tc>
          <w:tcPr>
            <w:tcW w:w="2310" w:type="dxa"/>
            <w:vAlign w:val="center"/>
            <w:gridSpan w:val="2"/>
          </w:tcPr>
          <w:p>
            <w:pPr/>
            <w:r>
              <w:rPr>
                <w:lang w:val="zh-CN"/>
                <w:rFonts w:ascii="Times New Roman" w:hAnsi="Times New Roman" w:cs="Times New Roman"/>
                <w:sz w:val="20"/>
                <w:szCs w:val="20"/>
                <w:color w:val="000000"/>
              </w:rPr>
              <w:t>530123196304053963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4、高淑琼</w:t>
            </w:r>
          </w:p>
        </w:tc>
        <w:tc>
          <w:tcPr>
            <w:tcW w:w="2310" w:type="dxa"/>
            <w:vAlign w:val="center"/>
            <w:gridSpan w:val="2"/>
          </w:tcPr>
          <w:p>
            <w:pPr/>
            <w:r>
              <w:rPr>
                <w:lang w:val="zh-CN"/>
                <w:rFonts w:ascii="Times New Roman" w:hAnsi="Times New Roman" w:cs="Times New Roman"/>
                <w:sz w:val="20"/>
                <w:szCs w:val="20"/>
                <w:color w:val="000000"/>
              </w:rPr>
              <w:t>530112196909292722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5、李培莲</w:t>
            </w:r>
          </w:p>
        </w:tc>
        <w:tc>
          <w:tcPr>
            <w:tcW w:w="2310" w:type="dxa"/>
            <w:vAlign w:val="center"/>
            <w:gridSpan w:val="2"/>
          </w:tcPr>
          <w:p>
            <w:pPr/>
            <w:r>
              <w:rPr>
                <w:lang w:val="zh-CN"/>
                <w:rFonts w:ascii="Times New Roman" w:hAnsi="Times New Roman" w:cs="Times New Roman"/>
                <w:sz w:val="20"/>
                <w:szCs w:val="20"/>
                <w:color w:val="000000"/>
              </w:rPr>
              <w:t>532331196812162229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6、胡光睿</w:t>
            </w:r>
          </w:p>
        </w:tc>
        <w:tc>
          <w:tcPr>
            <w:tcW w:w="2310" w:type="dxa"/>
            <w:vAlign w:val="center"/>
            <w:gridSpan w:val="2"/>
          </w:tcPr>
          <w:p>
            <w:pPr/>
            <w:r>
              <w:rPr>
                <w:lang w:val="zh-CN"/>
                <w:rFonts w:ascii="Times New Roman" w:hAnsi="Times New Roman" w:cs="Times New Roman"/>
                <w:sz w:val="20"/>
                <w:szCs w:val="20"/>
                <w:color w:val="000000"/>
              </w:rPr>
              <w:t>530123197001182631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7、王丽琼</w:t>
            </w:r>
          </w:p>
        </w:tc>
        <w:tc>
          <w:tcPr>
            <w:tcW w:w="2310" w:type="dxa"/>
            <w:vAlign w:val="center"/>
            <w:gridSpan w:val="2"/>
          </w:tcPr>
          <w:p>
            <w:pPr/>
            <w:r>
              <w:rPr>
                <w:lang w:val="zh-CN"/>
                <w:rFonts w:ascii="Times New Roman" w:hAnsi="Times New Roman" w:cs="Times New Roman"/>
                <w:sz w:val="20"/>
                <w:szCs w:val="20"/>
                <w:color w:val="000000"/>
              </w:rPr>
              <w:t>530181197106291221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8、李宽涛</w:t>
            </w:r>
          </w:p>
        </w:tc>
        <w:tc>
          <w:tcPr>
            <w:tcW w:w="2310" w:type="dxa"/>
            <w:vAlign w:val="center"/>
            <w:gridSpan w:val="2"/>
          </w:tcPr>
          <w:p>
            <w:pPr/>
            <w:r>
              <w:rPr>
                <w:lang w:val="zh-CN"/>
                <w:rFonts w:ascii="Times New Roman" w:hAnsi="Times New Roman" w:cs="Times New Roman"/>
                <w:sz w:val="20"/>
                <w:szCs w:val="20"/>
                <w:color w:val="000000"/>
              </w:rPr>
              <w:t>530123196804133935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9、阮丽华</w:t>
            </w:r>
          </w:p>
        </w:tc>
        <w:tc>
          <w:tcPr>
            <w:tcW w:w="2310" w:type="dxa"/>
            <w:vAlign w:val="center"/>
            <w:gridSpan w:val="2"/>
          </w:tcPr>
          <w:p>
            <w:pPr/>
            <w:r>
              <w:rPr>
                <w:lang w:val="zh-CN"/>
                <w:rFonts w:ascii="Times New Roman" w:hAnsi="Times New Roman" w:cs="Times New Roman"/>
                <w:sz w:val="20"/>
                <w:szCs w:val="20"/>
                <w:color w:val="000000"/>
              </w:rPr>
              <w:t>530123197008283320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10、王德荣</w:t>
            </w:r>
          </w:p>
        </w:tc>
        <w:tc>
          <w:tcPr>
            <w:tcW w:w="2310" w:type="dxa"/>
            <w:vAlign w:val="center"/>
            <w:gridSpan w:val="2"/>
          </w:tcPr>
          <w:p>
            <w:pPr/>
            <w:r>
              <w:rPr>
                <w:lang w:val="zh-CN"/>
                <w:rFonts w:ascii="Times New Roman" w:hAnsi="Times New Roman" w:cs="Times New Roman"/>
                <w:sz w:val="20"/>
                <w:szCs w:val="20"/>
                <w:color w:val="000000"/>
              </w:rPr>
              <w:t>532331196703042236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11、董兆秀</w:t>
            </w:r>
          </w:p>
        </w:tc>
        <w:tc>
          <w:tcPr>
            <w:tcW w:w="2310" w:type="dxa"/>
            <w:vAlign w:val="center"/>
            <w:gridSpan w:val="2"/>
          </w:tcPr>
          <w:p>
            <w:pPr/>
            <w:r>
              <w:rPr>
                <w:lang w:val="zh-CN"/>
                <w:rFonts w:ascii="Times New Roman" w:hAnsi="Times New Roman" w:cs="Times New Roman"/>
                <w:sz w:val="20"/>
                <w:szCs w:val="20"/>
                <w:color w:val="000000"/>
              </w:rPr>
              <w:t>532331196710262229</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9</w:t>
            </w:r>
          </w:p>
        </w:tc>
        <w:tc>
          <w:tcPr>
            <w:tcW w:w="2310" w:type="dxa"/>
          </w:tcPr>
          <w:p>
            <w:pPr/>
            <w:r>
              <w:rPr>
                <w:lang w:val="zh-CN"/>
                <w:rFonts w:ascii="Times New Roman" w:hAnsi="Times New Roman" w:cs="Times New Roman"/>
                <w:sz w:val="20"/>
                <w:szCs w:val="20"/>
                <w:color w:val="000000"/>
              </w:rPr>
              <w:t>11060.00</w:t>
            </w:r>
          </w:p>
        </w:tc>
        <w:tc>
          <w:tcPr>
            <w:tcW w:w="2310" w:type="dxa"/>
          </w:tcPr>
          <w:p>
            <w:pPr/>
            <w:r>
              <w:rPr>
                <w:lang w:val="zh-CN"/>
                <w:rFonts w:ascii="Times New Roman" w:hAnsi="Times New Roman" w:cs="Times New Roman"/>
                <w:sz w:val="20"/>
                <w:szCs w:val="20"/>
                <w:color w:val="000000"/>
              </w:rPr>
              <w:t>99540.00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取消2人机损</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2884.00</w:t>
            </w:r>
          </w:p>
        </w:tc>
        <w:tc>
          <w:tcPr>
            <w:tcW w:w="2310" w:type="dxa"/>
          </w:tcPr>
          <w:p>
            <w:pPr/>
            <w:r>
              <w:rPr>
                <w:lang w:val="zh-CN"/>
                <w:rFonts w:ascii="Times New Roman" w:hAnsi="Times New Roman" w:cs="Times New Roman"/>
                <w:sz w:val="20"/>
                <w:szCs w:val="20"/>
                <w:color w:val="000000"/>
              </w:rPr>
              <w:t>5768.00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总金额：壹拾万零伍仟叁佰零捌元整</w:t>
            </w:r>
          </w:p>
        </w:tc>
        <w:tc>
          <w:tcPr>
            <w:tcW w:w="2310" w:type="dxa"/>
            <w:textDirection w:val="right"/>
            <w:gridSpan w:val="3"/>
          </w:tcPr>
          <w:p>
            <w:pPr/>
            <w:r>
              <w:rPr>
                <w:lang w:val="zh-CN"/>
                <w:rFonts w:ascii="Times New Roman" w:hAnsi="Times New Roman" w:cs="Times New Roman"/>
                <w:b/>
                <w:color w:val="FF0000"/>
              </w:rPr>
              <w:t>105308.00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2025/06/14</w:t>
            </w:r>
          </w:p>
        </w:tc>
        <w:tc>
          <w:tcPr>
            <w:tcW w:w="2310" w:type="dxa"/>
            <w:gridSpan w:val="7"/>
          </w:tcPr>
          <w:p>
            <w:pPr/>
            <w:r>
              <w:rPr>
                <w:lang w:val="zh-CN"/>
                <w:rFonts w:ascii="Times New Roman" w:hAnsi="Times New Roman" w:cs="Times New Roman"/>
                <w:b/>
                <w:color w:val="000000"/>
              </w:rPr>
              <w:t>昆明-乌鲁木齐(飞机)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根据航班时间乘飞机前往乌鲁木齐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早餐：不含；午餐：不含；晚餐：不含；住宿：乌鲁木齐</w:t>
            </w:r>
          </w:p>
        </w:tc>
      </w:tr>
      <w:tr>
        <w:tc>
          <w:tcPr>
            <w:tcW w:w="2310" w:type="dxa"/>
            <w:vAlign w:val="center"/>
            <w:vMerge w:val="restart"/>
          </w:tcPr>
          <w:p>
            <w:pPr/>
            <w:r>
              <w:rPr>
                <w:lang w:val="zh-CN"/>
                <w:rFonts w:ascii="Times New Roman" w:hAnsi="Times New Roman" w:cs="Times New Roman"/>
                <w:sz w:val="20"/>
                <w:szCs w:val="20"/>
                <w:color w:val="000000"/>
              </w:rPr>
              <w:t>2025/06/15</w:t>
            </w:r>
          </w:p>
        </w:tc>
        <w:tc>
          <w:tcPr>
            <w:tcW w:w="2310" w:type="dxa"/>
            <w:gridSpan w:val="7"/>
          </w:tcPr>
          <w:p>
            <w:pPr/>
            <w:r>
              <w:rPr>
                <w:lang w:val="zh-CN"/>
                <w:rFonts w:ascii="Times New Roman" w:hAnsi="Times New Roman" w:cs="Times New Roman"/>
                <w:b/>
                <w:color w:val="000000"/>
              </w:rPr>
              <w:t>乌鲁木齐→天山天池→布尔津/福海/北屯（约 580 公里 ，车程约 7 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【天山天池】（含门票+区间车 ，游览时间约3小时）古称瑶池 ，位于东部天山主峰博格达峰（海拔5445米）半山  腰 ，水面海拔 1910米 ，南北长3.5公里 ，东西宽0.8～ 1.5公里 ，最深处 105米 ，平均水深60米；湖面群山环绕， 云杉林立 ，松柏翠绿 ，层峦叠嶂 ，雪峰突显 ，犹如水墨画一般 ，甚为壮观 ，这里流传着西王母与周穆王的爱情故事， 有诗为证： ‘瑶池阿母绮窗开,黄竹歌声动地哀；八骏日行三万里,穆王何事不重来?’ 给景区增添些许神秘 ，乘车而  上，依次可以看到：石门一线、龙潭碧月（西小天池）、定海神针、大天池（主景区）、西山观松、南山望雪等景观；</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早餐：含；午餐：含；晚餐：含；住宿：布尔津/福海/北屯</w:t>
            </w:r>
          </w:p>
        </w:tc>
      </w:tr>
      <w:tr>
        <w:tc>
          <w:tcPr>
            <w:tcW w:w="2310" w:type="dxa"/>
            <w:vAlign w:val="center"/>
            <w:vMerge w:val="restart"/>
          </w:tcPr>
          <w:p>
            <w:pPr/>
            <w:r>
              <w:rPr>
                <w:lang w:val="zh-CN"/>
                <w:rFonts w:ascii="Times New Roman" w:hAnsi="Times New Roman" w:cs="Times New Roman"/>
                <w:sz w:val="20"/>
                <w:szCs w:val="20"/>
                <w:color w:val="000000"/>
              </w:rPr>
              <w:t>2025/06/16</w:t>
            </w:r>
          </w:p>
        </w:tc>
        <w:tc>
          <w:tcPr>
            <w:tcW w:w="2310" w:type="dxa"/>
            <w:gridSpan w:val="7"/>
          </w:tcPr>
          <w:p>
            <w:pPr/>
            <w:r>
              <w:rPr>
                <w:lang w:val="zh-CN"/>
                <w:rFonts w:ascii="Times New Roman" w:hAnsi="Times New Roman" w:cs="Times New Roman"/>
                <w:b/>
                <w:color w:val="000000"/>
              </w:rPr>
              <w:t>布尔津/福海/北屯→禾木村→贾登峪  （  约 200 公里 ，车程约 4 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【禾木村】（含门票+区间车 ，游览时间约3小时） ，禾木村的房子全是原木搭建而成的 ，充满了原始的味道，早晨炊烟冉冉升起，形成一条梦幻般的烟雾带，胜似仙境；可徒步攀登禾木观景平台（成吉思汗点将台）俯看禾木村 以及禾木河的全景 ：空谷幽灵、小桥流水、牧马羊群从林间扬尘而过 … … ，禾木村也通常称为禾木乡 ，是大草原的最 高行政机构，是中国西部最北端的乡，保持着最完整民族传统的图瓦人集中生活居住在这里，是著名的图瓦人村庄之 一 ，也是仅存的3个图瓦人村落（禾木村、喀纳斯村和白哈巴村）中最远和最大的村庄，总面积3040平方公里，全 乡现有1800余人 ，其中蒙古族图瓦人有 1400多人 ，以蒙古族图瓦人和哈萨克族为主 ，他们的木屋散布在山地草原上 ，世代居住于此 ，安宁祥和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早餐：含；午餐：含；晚餐：含；住宿：贾登峪</w:t>
            </w:r>
          </w:p>
        </w:tc>
      </w:tr>
      <w:tr>
        <w:tc>
          <w:tcPr>
            <w:tcW w:w="2310" w:type="dxa"/>
            <w:vAlign w:val="center"/>
            <w:vMerge w:val="restart"/>
          </w:tcPr>
          <w:p>
            <w:pPr/>
            <w:r>
              <w:rPr>
                <w:lang w:val="zh-CN"/>
                <w:rFonts w:ascii="Times New Roman" w:hAnsi="Times New Roman" w:cs="Times New Roman"/>
                <w:sz w:val="20"/>
                <w:szCs w:val="20"/>
                <w:color w:val="000000"/>
              </w:rPr>
              <w:t>2025/06/17</w:t>
            </w:r>
          </w:p>
        </w:tc>
        <w:tc>
          <w:tcPr>
            <w:tcW w:w="2310" w:type="dxa"/>
            <w:gridSpan w:val="7"/>
          </w:tcPr>
          <w:p>
            <w:pPr/>
            <w:r>
              <w:rPr>
                <w:lang w:val="zh-CN"/>
                <w:rFonts w:ascii="Times New Roman" w:hAnsi="Times New Roman" w:cs="Times New Roman"/>
                <w:b/>
                <w:color w:val="000000"/>
              </w:rPr>
              <w:t>贾登峪→喀纳斯湖→五彩滩→乌尔禾镇（约 480 公里 ，车程约 7.5 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【喀纳斯湖】（含门票+区间车 ，游览时间约3小时） ， 国家AAAAA 级旅游景区 ，位于新疆维吾尔自治区阿勒泰地区布尔津县北部，有驼颈湾、变色湖、卧龙湾、月亮湾、神仙湾等主要景点；“ 喀纳斯”是蒙古语，意为“美丽 而神秘的湖”；喀纳斯湖位于新疆维吾尔自治区阿勒泰地区布尔津县北部，湖水来自奎屯、友谊峰等山的冰川融水和 当地降水，湖面海拔 1374米，面积45.73㎞2 , 湖泊最深处188.5 米 ，蓄水量达53.8亿立方米，是中国最深的冰碛 堰塞湖 ，是一个坐落在阿尔泰深山密林中的高山湖泊、 内陆淡水湖； 电影[天地英雄]、刘若英-[分开旅行][原来你也   在这里]的取景地；【五彩滩】 (含门票 ，游览时间约 1小时）位于新疆北端阿勒泰地区布尔津县境内 ，地处我国唯一注入北冰洋的额      尔齐斯河北岸的一、二级阶地上 ，往哈巴河县方向；该处海拔480米 ，一河两岸 ，两岸景不同 ，是国家4A级景区， 其地貌特殊 ，长期干燥地带 ，属于典型的彩色丘陵（或彩丘地貌） ，为阿勒泰旅游的点睛之笔 ，受到游人青睐；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早餐：含；午餐：含；晚餐：含；住宿：乌尔禾镇</w:t>
            </w:r>
          </w:p>
        </w:tc>
      </w:tr>
      <w:tr>
        <w:tc>
          <w:tcPr>
            <w:tcW w:w="2310" w:type="dxa"/>
            <w:vAlign w:val="center"/>
            <w:vMerge w:val="restart"/>
          </w:tcPr>
          <w:p>
            <w:pPr/>
            <w:r>
              <w:rPr>
                <w:lang w:val="zh-CN"/>
                <w:rFonts w:ascii="Times New Roman" w:hAnsi="Times New Roman" w:cs="Times New Roman"/>
                <w:sz w:val="20"/>
                <w:szCs w:val="20"/>
                <w:color w:val="000000"/>
              </w:rPr>
              <w:t>2025/06/18</w:t>
            </w:r>
          </w:p>
        </w:tc>
        <w:tc>
          <w:tcPr>
            <w:tcW w:w="2310" w:type="dxa"/>
            <w:gridSpan w:val="7"/>
          </w:tcPr>
          <w:p>
            <w:pPr/>
            <w:r>
              <w:rPr>
                <w:lang w:val="zh-CN"/>
                <w:rFonts w:ascii="Times New Roman" w:hAnsi="Times New Roman" w:cs="Times New Roman"/>
                <w:b/>
                <w:color w:val="000000"/>
              </w:rPr>
              <w:t>乌尔禾→乌尔禾魔鬼城→博乐/双河（约 550 公里 ，车程约 6 小时）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【乌尔禾魔鬼城】（含门票+区间车 ，游览时间约1.5小时） ，魔鬼城呈西北、东西走向 ，长宽约在5公里以上，方圆约10平方公里，地面海拔350米左右；据考察，大约一亿多年前的白垩纪时，这里是一个巨大的淡水湖泊，湖 岸生长着茂盛的植物，水中栖息繁衍着乌尔禾剑龙、蛇颈龙、恐龙、准噶尔翼龙和其它远古动物，这里是一片水族欢 聚的“天堂”，后来经过两次大的地壳变动，湖泊变成了间夹着砂岩和泥板岩的陆地瀚海，地质学上称它为“戈壁台 地” ，2018年4月 13 日 ，入围“神奇西北 100景” ；该地貌被《中国国家地理》 “选美中国”活动评选为“ 中国 最美的三大雅丹”之一； 电影【卧虎藏龙】【七剑下天山】【西圣地】取景地。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早餐：含；午餐：含；晚餐：含；住宿：博乐/双河</w:t>
            </w:r>
          </w:p>
        </w:tc>
      </w:tr>
      <w:tr>
        <w:tc>
          <w:tcPr>
            <w:tcW w:w="2310" w:type="dxa"/>
            <w:vAlign w:val="center"/>
            <w:vMerge w:val="restart"/>
          </w:tcPr>
          <w:p>
            <w:pPr/>
            <w:r>
              <w:rPr>
                <w:lang w:val="zh-CN"/>
                <w:rFonts w:ascii="Times New Roman" w:hAnsi="Times New Roman" w:cs="Times New Roman"/>
                <w:sz w:val="20"/>
                <w:szCs w:val="20"/>
                <w:color w:val="000000"/>
              </w:rPr>
              <w:t>2025/06/19</w:t>
            </w:r>
          </w:p>
        </w:tc>
        <w:tc>
          <w:tcPr>
            <w:tcW w:w="2310" w:type="dxa"/>
            <w:gridSpan w:val="7"/>
          </w:tcPr>
          <w:p>
            <w:pPr/>
            <w:r>
              <w:rPr>
                <w:lang w:val="zh-CN"/>
                <w:rFonts w:ascii="Times New Roman" w:hAnsi="Times New Roman" w:cs="Times New Roman"/>
                <w:b/>
                <w:color w:val="000000"/>
              </w:rPr>
              <w:t xml:space="preserve"> 博乐/双河→赛里木湖→薰衣草庄园→新源/那拉提镇（约 500KM ，行车约 5.5 小时）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【赛里木湖】（含门票+区间车 ，游览时间约2小时） ，被称之为山脊梁上湖泊、新疆海拔最高、大西洋的最后一滴眼泪的高山冷水湖 ，国家5A级风景名胜区 ，湖面海拔2073米 ，周围长年有雪山相映 ，湖面宽20米 ，长约30  公里，静谧如画，湖畔草原丰茂，野花遍地，牛羊成群，牧帐炊烟；一年四季，景色各异，春夏季节是摄影家的天堂， 冬季被称之为 ：东方的贝加尔湖；【果子沟】（途经）果子沟是伊犁地区的天然门户 ，是一条北上赛里木湖 ，南下伊犁河谷的著名峡谷孔道 ，在古代， 这里是我国通往中亚和欧洲的丝路新北道咽喉 ，被称为“铁关” ， 同时也因为它宜人的风景被誉为“伊犁第一景”、“奇绝仙境”古人赋诗赞其“ 山水之奇 ，媲于桂林 ，崖石之怪 ，胜于雁岩” ，果子沟全长28公里 ，地势险要 ，成吉 思汗西征时凿山通道 ， 曾架桥48座 ，可见路之险峻 ，清乾隆时改建为42座 ，现在仍是乌伊公路干线的重要路段；【薰衣草庄园】（赠送项目 ，不在花期不做退费 ，游览时间约40分钟） ，新疆伊犁有独特的地理优势 ，与法国的普 罗旺斯处在同一纬度，拥有相似的理位置、气候条件和土壤环境 ，出产的熏衣草品质同样世界齐名，是国家农业部命 名的“ 中国薰衣草之乡”。这里熏衣草株高花繁 ，产油量高 ，油质清纯 ，香味浓郁 ，品质优异 ，而且无农药、化肥等 污染。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早餐：含；午餐：含；晚餐：含；住宿：新源/那拉提</w:t>
            </w:r>
          </w:p>
        </w:tc>
      </w:tr>
      <w:tr>
        <w:tc>
          <w:tcPr>
            <w:tcW w:w="2310" w:type="dxa"/>
            <w:vAlign w:val="center"/>
            <w:vMerge w:val="restart"/>
          </w:tcPr>
          <w:p>
            <w:pPr/>
            <w:r>
              <w:rPr>
                <w:lang w:val="zh-CN"/>
                <w:rFonts w:ascii="Times New Roman" w:hAnsi="Times New Roman" w:cs="Times New Roman"/>
                <w:sz w:val="20"/>
                <w:szCs w:val="20"/>
                <w:color w:val="000000"/>
              </w:rPr>
              <w:t>2025/06/20</w:t>
            </w:r>
          </w:p>
        </w:tc>
        <w:tc>
          <w:tcPr>
            <w:tcW w:w="2310" w:type="dxa"/>
            <w:gridSpan w:val="7"/>
          </w:tcPr>
          <w:p>
            <w:pPr/>
            <w:r>
              <w:rPr>
                <w:lang w:val="zh-CN"/>
                <w:rFonts w:ascii="Times New Roman" w:hAnsi="Times New Roman" w:cs="Times New Roman"/>
                <w:b/>
                <w:color w:val="000000"/>
              </w:rPr>
              <w:t>新源/那拉提镇→那拉提草原→独库中段→ 巴音布鲁克草原→ 巴音布鲁克镇（约200KM ，行车约4 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【那拉提·河谷草原】（含门票+区间车 ，游览时间约2小时） ‘那拉提’蒙古语“太阳升起的地方” ，草原风景秀  丽多姿 ，云杉稠密 ，山水如画 ，如茵草场铺展在起伏的山峦之上 ，因而有“空中草场”之美誉 ，同时也被誉为“天然  氧吧” ，这里是当地哈萨克族牧民的夏牧场 ，夏牧场的平均海拔为2200米 ，它是一个山间盆地 ，草肥水美 ， 6、 7、 8月份是夏牧场的黄金季节 ，夏季 ，夏牧场鲜亮明快 ， 山清水秀 ，由下向上 ，随着地势的增高 ，气候、土壤、生物等  自然条件都随之发生明显的变化 ，形成一条垂直景观带 ，是游客休闲避暑开怀游览的好去处；2005年4月那拉提草原被上海吉尼斯世界总部授予“哈萨克人口最多的草原”；2005年10月被中国国家地理杂志社评为全国六大最美草原之一；【独库公路中段】独库开放期间（每年只在  6 月至  9 月底开通）换乘小车经独库中段前往巴音 ， 中段是整个公路 的精华路段之一，从那拉提到巴音布鲁克，展示了极为丰富的自然景观。这段路程以其多样的地貌和壮丽的自然风光 而闻名 ，是独库公路中最具代表性的部分；【巴音布鲁克草原】（含门票+区间车 ，游览时间约2小时） 旧称 ：裕勒都斯草原、珠勒都斯草原、尤鲁都斯草原， 因为主要位于新疆维吾尔自治区巴音郭楞蒙古自治州和静县西北的巴音布鲁克区境内，亦称巴音布鲁克草原 ，“巴音 布鲁克”蒙古语意为丰泉（丰富的泉水） ，明朝和清朝前期，裕勒都斯河流域主要是漠西蒙古里辉特部游牧带；清乾 隆三十九年(1774年)安置了渥巴锡率领东归的土尔扈特蒙古部；这里是天山山脉中段的高山间盆地 ，四周为雪山环抱 ，海拔约2500米 ，面积23835平方公里 ，草原地势平坦， 水草丰盛，是典型的禾草草甸草原，也是新疆最重要的畜牧业基地之一；这里盛产着焉耆天山马、巴音布鲁克大尾羊、 中国的美利奴羊和有“高原坦克”之称的牦牛 ，被誉为“草原四宝” ，每到仲夏季节 ，草原上鲜花盛开 ，争奇斗艳， 羊群像白云游荡，雪莲花般的座座蒙古包坐落其间；那里不但有雪山环抱下的世外桃源，还有蜿蜒在草原上的开都河， 素有“湾”的美称 ，在中国四大名著之一的《西游记》 中 ，开都河还有一个脍炙人口的名字——通天河 ，传说唐僧  取经的“晒经岛”就在和静县境内，充满神秘气息；全国闻名的巴音布鲁克天鹅湖保护区就位于该河上游的高山盆地  中 ，栖息着中国最大野生天鹅种群的天鹅保护区 ，河流的尾闾则是中国最大的内陆淡水湖--博斯腾湖；同时还有藏传佛教圣地巴润寺 ， 1773年土尔扈特部从伏尔加河流域东归祖国后迁移回来的唯一的一座喇嘛庙 ， 也是藏传佛教草原深处的朝圣之地 ，被称为艾尔宾喇嘛庙 ，这座喇嘛庙是土尔扈特部东归历史事迹的重要文化代表， 是藏传佛教四大教派之一的格鲁派传教的寺院；电影【东归英雄传】拍摄地； 电视剧【东归英雄】取景地； 电影【飞驰人生】取景地；备选方案（独库未开期间）：那拉提—那拉提河谷草原—218 火烧桥绕行—巴音布鲁克镇 （约200KM 行车约4.5 小时 ）特别说明：因独库公路通行受季节天气影响较大，即使开通期间遇下雨塌方也会临时封路，在独库公路封闭管制期间， 则按备选方案执行 ，费用同等。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早餐：含；午餐：含；晚餐：含；住宿：巴音布鲁克镇</w:t>
            </w:r>
          </w:p>
        </w:tc>
      </w:tr>
      <w:tr>
        <w:tc>
          <w:tcPr>
            <w:tcW w:w="2310" w:type="dxa"/>
            <w:vAlign w:val="center"/>
            <w:vMerge w:val="restart"/>
          </w:tcPr>
          <w:p>
            <w:pPr/>
            <w:r>
              <w:rPr>
                <w:lang w:val="zh-CN"/>
                <w:rFonts w:ascii="Times New Roman" w:hAnsi="Times New Roman" w:cs="Times New Roman"/>
                <w:sz w:val="20"/>
                <w:szCs w:val="20"/>
                <w:color w:val="000000"/>
              </w:rPr>
              <w:t>2025/06/21</w:t>
            </w:r>
          </w:p>
        </w:tc>
        <w:tc>
          <w:tcPr>
            <w:tcW w:w="2310" w:type="dxa"/>
            <w:gridSpan w:val="7"/>
          </w:tcPr>
          <w:p>
            <w:pPr/>
            <w:r>
              <w:rPr>
                <w:lang w:val="zh-CN"/>
                <w:rFonts w:ascii="Times New Roman" w:hAnsi="Times New Roman" w:cs="Times New Roman"/>
                <w:b/>
                <w:color w:val="000000"/>
              </w:rPr>
              <w:t>巴音布鲁克镇→网红独库公路南段→天山神秘大峡谷→库车（约260KM ，行车约 6 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【独库南段】换乘小车前往库车，独库公路，这隐藏在新疆深处的天险，其瑰伟不亚于川藏线。它一路途径草原、峡谷、雪山、湖泊、沙漠 ，绚烂美丽的不可方物。它 ，堪称地球上最美的景观大道。走在库车路段 ，看着那寸草不生的 赤色土石山 ，像是火炉中烧的通红的木炭 ，肆意炙烤着南疆大地。【天山神秘大峡谷】（含门票 ，游览时间约 1小时） 它集人间峡谷之妙 ，兼天山奇景之长 ，蕴万古之灵气 ，天山神秘大峡谷地处天山山脉南麓、库车县城以北64公里的山区 ，位于217国道 1025.8公里处北侧 ，海拔 1600米 ，最 高山峰2048米。大峡谷由红褐色的巨型山体群组成 ，当地人们称之为克孜利亚(维吾尔语意"红色的山崖")。峡谷南  北走向 ，末端稍向东弯曲 ，全长5000多米 ，经亿万年的风雨剥蚀、 山洪冲刷而成 ，是我国罕见的自然风景奇观。备选方案（独库未开期间）： 巴音布鲁克镇—巴音布鲁克草原—库尔勒（约460KM 行车约9.5小时 ）特别说明：因独库公路通行受季节天气影响较大，即使开通期间遇下雨塌方也会临时封路，在独库公路封闭管制期间， 则按备选方案执行 ，费用同等。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早餐：含；午餐：含；晚餐：含；住宿：库车</w:t>
            </w:r>
          </w:p>
        </w:tc>
      </w:tr>
      <w:tr>
        <w:tc>
          <w:tcPr>
            <w:tcW w:w="2310" w:type="dxa"/>
            <w:vAlign w:val="center"/>
            <w:vMerge w:val="restart"/>
          </w:tcPr>
          <w:p>
            <w:pPr/>
            <w:r>
              <w:rPr>
                <w:lang w:val="zh-CN"/>
                <w:rFonts w:ascii="Times New Roman" w:hAnsi="Times New Roman" w:cs="Times New Roman"/>
                <w:sz w:val="20"/>
                <w:szCs w:val="20"/>
                <w:color w:val="000000"/>
              </w:rPr>
              <w:t>2025/06/22</w:t>
            </w:r>
          </w:p>
        </w:tc>
        <w:tc>
          <w:tcPr>
            <w:tcW w:w="2310" w:type="dxa"/>
            <w:gridSpan w:val="7"/>
          </w:tcPr>
          <w:p>
            <w:pPr/>
            <w:r>
              <w:rPr>
                <w:lang w:val="zh-CN"/>
                <w:rFonts w:ascii="Times New Roman" w:hAnsi="Times New Roman" w:cs="Times New Roman"/>
                <w:b/>
                <w:color w:val="000000"/>
              </w:rPr>
              <w:t>库车→烈焰泉→克孜尔千佛洞→阿拉尔   （约 380 公里 ，行车约 6 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【烈焰泉】（赠送游览 ，不去不做退费 ，游览时间约30 分钟）被誉为“地狱之火” ，是一种罕见的自然奇观。烈焰泉的形成是由于地下天然气通过地壳运动和地质构造的作用 ，通过裂隙和孔隙进入地表 ，与空气中的氧气发生反应， 产生火焰。这些火焰与泉水相交溶 ，形成水火相容的奇特景观 ，水浇不灭火 ，火烧不干水 ，非常壮观。【克孜尔千佛洞】（含门票 ，游览时间约1小时） 它坐落于悬崖峭壁之上 ，绵延数千公里。 其中保存壁画的洞窟有  80多个 ，壁画总面积约 1万平方米。克孜尔千佛洞（维吾尔语 ：Qiz il Ming ?y） ，又称克孜尔石窟或赫色尔石窟， 中国佛教石窟 ， 1961年公布的第一批全国重点文物保护单位之一。石窟共有236窟 ，大部分塑像都已被毁 ，还有  81窟存有精美壁画 ，为古代龟兹国的文化遗存。备选方案（独库未开期间） ：库尔勒—沙雅魔鬼林—阿拉尔 （约550KM 行车约8小时 ）【沙雅魔鬼林】被称为“千年不死、死千年不倒、倒千年不朽”，这种生命力顽强的特性使得它成为沙漠中的“英雄”。 这片胡杨林不仅展示了生命的奇迹，还见证了塔克拉玛干沙漠的历史变迁和自然环境的演变。由于地处沙漠深处，魔  鬼林长期以来几乎没有人类涉足，保持了自然状态，吸引了众多探险者和摄影爱好者前来探索。独特的景观和自然状  态使其成为新疆“最震撼人心的地方”之一 ，游客可以在这里体验到生命的顽强与自然的鬼斧神工。</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早餐：含；午餐：含；晚餐：含；住宿：阿拉尔</w:t>
            </w:r>
          </w:p>
        </w:tc>
      </w:tr>
      <w:tr>
        <w:tc>
          <w:tcPr>
            <w:tcW w:w="2310" w:type="dxa"/>
            <w:vAlign w:val="center"/>
            <w:vMerge w:val="restart"/>
          </w:tcPr>
          <w:p>
            <w:pPr/>
            <w:r>
              <w:rPr>
                <w:lang w:val="zh-CN"/>
                <w:rFonts w:ascii="Times New Roman" w:hAnsi="Times New Roman" w:cs="Times New Roman"/>
                <w:sz w:val="20"/>
                <w:szCs w:val="20"/>
                <w:color w:val="000000"/>
              </w:rPr>
              <w:t>2025/06/23</w:t>
            </w:r>
          </w:p>
        </w:tc>
        <w:tc>
          <w:tcPr>
            <w:tcW w:w="2310" w:type="dxa"/>
            <w:gridSpan w:val="7"/>
          </w:tcPr>
          <w:p>
            <w:pPr/>
            <w:r>
              <w:rPr>
                <w:lang w:val="zh-CN"/>
                <w:rFonts w:ascii="Times New Roman" w:hAnsi="Times New Roman" w:cs="Times New Roman"/>
                <w:b/>
                <w:color w:val="000000"/>
              </w:rPr>
              <w:t xml:space="preserve"> 阿拉尔→三五九旅纪念馆→塔克拉玛干沙漠公路→和田 （约 450 公里 ，行车约 6 小时）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【三五九旅纪念馆】（周一闭馆 ，赠送项目费用不退） 它位于著名的中国最长内陆河塔里木河岸边--新疆阿拉尔市， 南与阿拉尔市政府大楼接邻，东与希贵大酒店相邻，西与阿拉尔迎宾馆相邻，前接军垦大道，东西两侧分别有屯垦纪 念馆文化东路和西路贯通。该馆距阿克苏市 120公里，距库车县222公里，距沙雅县 160公里，距图木舒克市240 公里 ，距和田市424公里 ，有 "阿-和公路 "、 "阿-沙公路 "、 "阿-图公路 "、 "阿-塔公路 "等几条交通大动脉贯通其中 ， 交通十分便利。【塔克拉玛干沙漠公路】前往和田，和一般公路建设不同，沙漠公路建设必须考虑公路防护问题。由于塔克拉玛干沙 漠是流动性沙漠，流沙侵蚀沙漠公路路基路面、沙丘压埋公路等危害，严重威胁着沙漠公路的畅通。公路两侧不仅每 隔100公里设置一处服务区 ，还结合自然环境分布 ，在合适的地段设置观景点、观景区、观景带 ，以方便过往旅客 观看、欣赏沙海、胡杨林、芦苇等具有沙漠公路特点的风景 ， 同时也有效防止驾驶员和乘客的视觉疲劳 。特别说明 ：此天不含正餐 ，沿途餐厅较少 ，故请提前准备零食干粮和水 ，以备路上所需；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早餐：含；午餐：含；晚餐：含；住宿：和田</w:t>
            </w:r>
          </w:p>
        </w:tc>
      </w:tr>
      <w:tr>
        <w:tc>
          <w:tcPr>
            <w:tcW w:w="2310" w:type="dxa"/>
            <w:vAlign w:val="center"/>
            <w:vMerge w:val="restart"/>
          </w:tcPr>
          <w:p>
            <w:pPr/>
            <w:r>
              <w:rPr>
                <w:lang w:val="zh-CN"/>
                <w:rFonts w:ascii="Times New Roman" w:hAnsi="Times New Roman" w:cs="Times New Roman"/>
                <w:sz w:val="20"/>
                <w:szCs w:val="20"/>
                <w:color w:val="000000"/>
              </w:rPr>
              <w:t>2025/06/24</w:t>
            </w:r>
          </w:p>
        </w:tc>
        <w:tc>
          <w:tcPr>
            <w:tcW w:w="2310" w:type="dxa"/>
            <w:gridSpan w:val="7"/>
          </w:tcPr>
          <w:p>
            <w:pPr/>
            <w:r>
              <w:rPr>
                <w:lang w:val="zh-CN"/>
                <w:rFonts w:ascii="Times New Roman" w:hAnsi="Times New Roman" w:cs="Times New Roman"/>
                <w:b/>
                <w:color w:val="000000"/>
              </w:rPr>
              <w:t>和田→莎车非遗博览园→喀什/疏附县（约 500KM ，行车约 6.5 小时）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【莎车非遗博览园】（含门票，游览时间约1小时） ， 占地面积 22.5 亩 ，建设面积 18806 ㎡， 为宫殿院落式建  筑 ， 建筑气势磅礴 、 金碧辉煌 ， 是多样文化建筑的完美结晶 。 莎车非遗博览园 ， 以现代文化为引领 ， 将现代  建筑技术和民俗建筑风格相融合 。借助新疆各类民俗装饰手法，充分展示了莎车民俗民风，熔入“ 昆仑文化、 佛教文化 、 蒙古文化 、 丝路文化 、 中原文化 、 西域文化 、 草原文化 、 河流文化 、 玉石文化 、 音乐文化 、 民俗  文化 ”等历史文化为一炉 ， 体现了多种文化相交相融相衬托的特性 。 整体呈现了莎车作为中华文化血脉在边  疆的历史标识的特点 ， 展现出莎车厚重的历史以及作为丝绸之路重镇交汇多样文化的辉煌。备注 ：如遇【莎车非遗博览园】维护未开门 ，则此景点置换为【莎车十二木卡姆】；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早餐：含；午餐：含；晚餐：含；住宿：喀什/疏附县</w:t>
            </w:r>
          </w:p>
        </w:tc>
      </w:tr>
      <w:tr>
        <w:tc>
          <w:tcPr>
            <w:tcW w:w="2310" w:type="dxa"/>
            <w:vAlign w:val="center"/>
            <w:vMerge w:val="restart"/>
          </w:tcPr>
          <w:p>
            <w:pPr/>
            <w:r>
              <w:rPr>
                <w:lang w:val="zh-CN"/>
                <w:rFonts w:ascii="Times New Roman" w:hAnsi="Times New Roman" w:cs="Times New Roman"/>
                <w:sz w:val="20"/>
                <w:szCs w:val="20"/>
                <w:color w:val="000000"/>
              </w:rPr>
              <w:t>2025/06/25</w:t>
            </w:r>
          </w:p>
        </w:tc>
        <w:tc>
          <w:tcPr>
            <w:tcW w:w="2310" w:type="dxa"/>
            <w:gridSpan w:val="7"/>
          </w:tcPr>
          <w:p>
            <w:pPr/>
            <w:r>
              <w:rPr>
                <w:lang w:val="zh-CN"/>
                <w:rFonts w:ascii="Times New Roman" w:hAnsi="Times New Roman" w:cs="Times New Roman"/>
                <w:b/>
                <w:color w:val="000000"/>
              </w:rPr>
              <w:t>喀什/疏附县→木吉火山口→布伦口沙湖（途观）→喀拉库里湖→塔县【约420公里 ，车程约 7.5 小时】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【木吉火山口】（含门票 ，游览时间约 1小时）地处帕米尔高原深处 ， 阿克陶县西北部 ，位于中国的最西端 ，海拔    约3800米，是新疆乃至全球海拔较高的火山口之一。1500年前的火山喷发，在这里形成了独特的“冰与火的幻境”。 虽然它是很久以前喷发的，但目前仍保留着透明的冰川、清澈的冰蚀湖、深不见底的冰洞、甘甜的冰川雪水。木吉火山口属“泉华型”火山，也是世界上最具典型的火山口 ，它四周有高原湿地的包围，形成了冰川、冰蚀湖、冰洞等许多浑然天成的自然景观 ，这是大自然别具匠心的伟大杰作。【布伦口沙湖】（途观，不进景区）入围“神奇西北 100景”的榜单，是我国国家5A级旅游景区。新疆白沙湖位于 新疆南疆 ，帕米尔高原上的克州阿克陶县境内 ，314国道旁。这里就像是遗落在高原之上的天堂，只有凉风，蓝海和 沙丘 …【喀拉库里湖】（含门票 ，游览时间约 1小时）—雪峰之泪：“喀拉库里意为“黑海 ，海拔3600米 ，湖深30米， 总面积10平方公里 ，是一座高山冰蚀冰碛湖。神秘的喀拉库勒湖四周群山环抱 ，几座冰雪覆盖的山峰环绕在湖边， 东面矗立的是号称“冰川之父”慕士塔格峰，西面则是连绵不断的萨尔阔勒山脉，犹如一群魁梧矫健的青年围绕在温柔美丽的姑娘身边，欢歌起舞，相依相伴 ，守护千年。喀拉库勒湖四景色不同，夏季水草丰茂、水鸟游弋 ，湖面波光 潋滟 ，流光溢彩；冬季冰雪覆盖、人迹罕至 ，冰湖雪峰 ，景色格外宜人！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早餐：含；午餐：含；晚餐：含；住宿：塔县</w:t>
            </w:r>
          </w:p>
        </w:tc>
      </w:tr>
      <w:tr>
        <w:tc>
          <w:tcPr>
            <w:tcW w:w="2310" w:type="dxa"/>
            <w:vAlign w:val="center"/>
            <w:vMerge w:val="restart"/>
          </w:tcPr>
          <w:p>
            <w:pPr/>
            <w:r>
              <w:rPr>
                <w:lang w:val="zh-CN"/>
                <w:rFonts w:ascii="Times New Roman" w:hAnsi="Times New Roman" w:cs="Times New Roman"/>
                <w:sz w:val="20"/>
                <w:szCs w:val="20"/>
                <w:color w:val="000000"/>
              </w:rPr>
              <w:t>2025/06/26</w:t>
            </w:r>
          </w:p>
        </w:tc>
        <w:tc>
          <w:tcPr>
            <w:tcW w:w="2310" w:type="dxa"/>
            <w:gridSpan w:val="7"/>
          </w:tcPr>
          <w:p>
            <w:pPr/>
            <w:r>
              <w:rPr>
                <w:lang w:val="zh-CN"/>
                <w:rFonts w:ascii="Times New Roman" w:hAnsi="Times New Roman" w:cs="Times New Roman"/>
                <w:b/>
                <w:color w:val="000000"/>
              </w:rPr>
              <w:t>塔县→盘龙古道→班迪尔蓝湖（途观）→帕米尔景区→喀什（约 300KM ，行车约 5 小时）(巴士)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【盘龙古道】换乘小车前往 ，费用已含 ，此路位于塔什库尔干县瓦恰乡境内 ，是近年来新晋网红公路 ，全程有600   多个S弯道和U型道，海拔从3000米上升到4100米 ，已然成为帕米尔高原上炙手可热的打卡之地；‘ 今天走过了 所有的弯路， 从此人生尽是坦途’说尽了太多人的祈愿 ，愿走过此路之人余生皆是坦途；【班迪尔蓝湖】（途观），班迪尔蓝湖又称下板地水库，下坂地水利枢纽工程是国务院批复的《塔里木河流域近期综 合治理规划报告》中确定的唯一的一座大型山区水利枢纽工程。它位于新疆喀什地区叶尔羌河主要支流之一的塔什库 尔干河中游 ，是以生态补水、春旱供水为主 ，结合发电的综合性水利工程 ，是造福喀、克两地州400万各族人民的  富民工程。【帕米尔景区】（含门票+区间车 ，游览时间约 1小时）该景区规划总面积3.1平方公里 ， 由石头城景区、金草滩， 彩云人家民俗村组成。【塔什库尔干石头城】是中国三大石头城之一 ，【阿拉尔金草滩】就在石头城下 ，因那里有一 个叫阿拉尔的乡村，故得名阿拉尔金草滩，历史上是游牧民族的游牧地，是帕米尔高原游牧文化保留较为守好的地区 之一；塔什库尔干县是一个神奇的小镇，苍凉的土地养育了中国唯一的纯白种人塔吉克族，深入的了解塔吉克民俗风 情 ，感受他们的热情好客；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2025/06/27</w:t>
            </w:r>
          </w:p>
        </w:tc>
        <w:tc>
          <w:tcPr>
            <w:tcW w:w="2310" w:type="dxa"/>
            <w:gridSpan w:val="7"/>
          </w:tcPr>
          <w:p>
            <w:pPr/>
            <w:r>
              <w:rPr>
                <w:lang w:val="zh-CN"/>
                <w:rFonts w:ascii="Times New Roman" w:hAnsi="Times New Roman" w:cs="Times New Roman"/>
                <w:b/>
                <w:color w:val="000000"/>
              </w:rPr>
              <w:t>喀什→香妃园（不含歌舞） →喀什古城→艾提尕尔清真寺→火车(巴士)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【香妃园景区】（不含歌舞 游览时间约40 分钟） 占地面积300余亩 ，坐落于喀什市东北郊5公里的浩罕乡艾孜热 特村。香妃园景区在喀什众多的历史遗迹中独具特色 ， 因其在少数民族特色文化中极具代表性 ， 1957年被列为第一 批自治区文物保护单位 ， 1988年被列为全国文物保护单位。 2014年7 月开始打造以“香妃”文化为主题的旅游景 区(香妃园) ， 2019年被国家评为4A级旅游景区。【喀什古城】（赠送 ，游览时间约 1小时）老城区街巷纵横交错 ，布局灵活多变 ， 曲径通幽 ， 民 居大多为土木、砖 木结构 ，不少传统民居已有上百年的历史 ，是中国唯一的以伊斯兰文化为特色的 迷宫式城市街区。【艾提尕尔清真寺】（含门票 ，游览时间1小时）分为“正殿”、“外殿”、 “教经堂”、“ 院落”、“拱拜孜”、 “宣礼塔”、 “大门”等七部分 ，它不仅是新疆规模最大的清真寺 ，也是全国规模最大的清真寺之一。火车-吐鲁番</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2025/06/28</w:t>
            </w:r>
          </w:p>
        </w:tc>
        <w:tc>
          <w:tcPr>
            <w:tcW w:w="2310" w:type="dxa"/>
            <w:gridSpan w:val="7"/>
          </w:tcPr>
          <w:p>
            <w:pPr/>
            <w:r>
              <w:rPr>
                <w:lang w:val="zh-CN"/>
                <w:rFonts w:ascii="Times New Roman" w:hAnsi="Times New Roman" w:cs="Times New Roman"/>
                <w:b/>
                <w:color w:val="000000"/>
              </w:rPr>
              <w:t>吐鲁番接火车-火焰山-坎儿井-维吾尔家纺—乌鲁木齐(巴士)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焰山】（含门票，游览时间约40分钟）位于吐鲁番盆地的北缘，临近312国道，为古丝绸之路北道；明代晚期作家吴承恩在小说《西游记》中将唐僧师徒四人取经受阻火焰山的故事加以神化，把火焰山与唐僧、孙悟空、铁扇公主、牛魔王联系在一起，增加了浓郁的神奇色彩，并将火焰山塑造成了天下奇山，为天下人所熟知；【坎儿井】（含门票，游览时间约40分钟）坎儿井是荒漠地区一特殊灌溉系统，普遍于中国新疆吐鲁番地区。坎儿井与万里长城、京杭大运河并称为中国古代三大工程。【维吾尔家访】（赠送，时间约50分钟）品尝当地水果、葡萄干等，欣赏并学习原生态迷人的吐鲁番风情舞蹈，一同感受维吾尔族人民葡萄架下的惬意生活，了解世界著名的葡萄故乡的异域文化。吐鲁番火车返回昆明</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早餐：不含；午餐：含；晚餐：含；住宿：乌鲁木齐</w:t>
            </w:r>
          </w:p>
        </w:tc>
      </w:tr>
      <w:tr>
        <w:tc>
          <w:tcPr>
            <w:tcW w:w="2310" w:type="dxa"/>
            <w:vAlign w:val="center"/>
            <w:vMerge w:val="restart"/>
          </w:tcPr>
          <w:p>
            <w:pPr/>
            <w:r>
              <w:rPr>
                <w:lang w:val="zh-CN"/>
                <w:rFonts w:ascii="Times New Roman" w:hAnsi="Times New Roman" w:cs="Times New Roman"/>
                <w:sz w:val="20"/>
                <w:szCs w:val="20"/>
                <w:color w:val="000000"/>
              </w:rPr>
              <w:t>2025/06/29</w:t>
            </w:r>
          </w:p>
        </w:tc>
        <w:tc>
          <w:tcPr>
            <w:tcW w:w="2310" w:type="dxa"/>
            <w:gridSpan w:val="7"/>
          </w:tcPr>
          <w:p>
            <w:pPr/>
            <w:r>
              <w:rPr>
                <w:lang w:val="zh-CN"/>
                <w:rFonts w:ascii="Times New Roman" w:hAnsi="Times New Roman" w:cs="Times New Roman"/>
                <w:b/>
                <w:color w:val="000000"/>
              </w:rPr>
              <w:t>乌鲁木齐-昆明(飞机)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安排专车送客人前往乌鲁木齐地窝堡国际机场，乘坐飞机，结束愉快的新疆之行，返回温馨的家。温馨提示：乌鲁木齐正常最晚退房时间14:00，请在14:00前退房，否则将产生房费，客人自理；返程前请仔细检查自己的行李物品，不要遗落，增加您不必要的麻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住宿：全程安排6晚携程三钻酒店+2晚临景区住宿+5晚舒适型酒店；不接受拼房者单房差自理;（不占床则不含早餐）新疆经济落后，住宿条件有限，特别是景区住宿，请提前做好心理准备；2、用餐：全程含28正餐（含特色餐餐标30元/人/正），酒店含早，若客人不用，费用不退；十人一桌八菜一汤，不足10人将根据实际人数酌情安排用餐，维持餐标不变；3、交通：专享航空座椅2+1高端陆地头等舱，29人以内精品团（不足15人则根据人数调换车型，费用同等）；4、景点：包含行程中所列景点首道门票及区间车；5、导游：优秀国语导游，10人以下（含10人）司机兼向导，主要负责驾驶、协助安排住宿、门票、简单介绍；6、购物：全程0购物0自费（注：景区内的各种小商店不计旅游行程中规定的购物点）；7、儿童：儿童1.2米以下价格，只含半餐+车位+导服！若产生其他费用，由家长现场购买。8、老人：新疆地处最西北，山区海拔高、天气干燥炎热，景区车程长，路途颠簸；不建议70岁以上老人参团，如要参团，需有25-55岁之间年龄段家属1带1陪同方可接待，如无家属陪同，需提供三级甲等医院近一周内身体健康证明书，必须填写《参团免责声明》，直系亲属签字确认，如故意隐瞒真实情况，后果责任自负责；75岁以上老人恕不能接待；9、保险：新疆当地旅行社责任险，强烈建议客人购买相关的个人保险；10、备注：行程中参考酒店如遇满房或被征用，我社有权安排其他同级酒店入住。【费用不含】1、景区配套娱乐项目：喀纳斯游船、图瓦人家访、云霄峰索道、赛湖帆船、草原烤全羊等；以上为景区配套娱乐项目，不属于我司安排的自费项目，游客可根据自身需求或导游推荐自行选择参加，请知悉。2、旅游意外伤害保险及航空意外险（建议旅游者购买）；3、因旅游者违约、自身过错、自身疾病导致的人身财产损失而额外支付的费用；4、酒店押金和单间差或加床费用；5、园中园门票及景区内的小交通及所有消费；6、自由活动期间的餐食费和交通费；7、因交通延误、取消等意外事件或战争、罢工、自然灾害等不可抗拒力导致的额外费用；8、“旅游费用包含”内容以外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古凌</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14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2025/6/14 14:15:22</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