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去哪儿玉溪</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纳艳桃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13887701588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ZLY08FJ240620A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6.20山东+大连双飞8日游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1、李会琼</w:t>
            </w:r>
          </w:p>
        </w:tc>
        <w:tc>
          <w:tcPr>
            <w:tcW w:w="2310" w:type="dxa"/>
            <w:vAlign w:val="center"/>
            <w:gridSpan w:val="2"/>
          </w:tcPr>
          <w:p>
            <w:pPr/>
            <w:r>
              <w:rPr>
                <w:lang w:val="zh-CN"/>
                <w:rFonts w:ascii="Times New Roman" w:hAnsi="Times New Roman" w:cs="Times New Roman"/>
                <w:sz w:val="20"/>
                <w:szCs w:val="20"/>
                <w:color w:val="000000"/>
              </w:rPr>
              <w:t>532425196308160329</w:t>
            </w:r>
          </w:p>
        </w:tc>
        <w:tc>
          <w:tcPr>
            <w:tcW w:w="2310" w:type="dxa"/>
            <w:vAlign w:val="center"/>
          </w:tcPr>
          <w:p>
            <w:pPr/>
            <w:r>
              <w:rPr>
                <w:lang w:val="zh-CN"/>
                <w:rFonts w:ascii="Times New Roman" w:hAnsi="Times New Roman" w:cs="Times New Roman"/>
                <w:sz w:val="20"/>
                <w:szCs w:val="20"/>
                <w:color w:val="000000"/>
              </w:rPr>
              <w:t>13987733826</w:t>
            </w:r>
          </w:p>
        </w:tc>
        <w:tc>
          <w:tcPr>
            <w:tcW w:w="2310" w:type="dxa"/>
            <w:vAlign w:val="center"/>
          </w:tcPr>
          <w:p>
            <w:pPr/>
            <w:r>
              <w:rPr>
                <w:lang w:val="zh-CN"/>
                <w:rFonts w:ascii="Times New Roman" w:hAnsi="Times New Roman" w:cs="Times New Roman"/>
                <w:sz w:val="20"/>
                <w:szCs w:val="20"/>
                <w:color w:val="000000"/>
              </w:rPr>
              <w:t>2、马子丽</w:t>
            </w:r>
          </w:p>
        </w:tc>
        <w:tc>
          <w:tcPr>
            <w:tcW w:w="2310" w:type="dxa"/>
            <w:vAlign w:val="center"/>
            <w:gridSpan w:val="2"/>
          </w:tcPr>
          <w:p>
            <w:pPr/>
            <w:r>
              <w:rPr>
                <w:lang w:val="zh-CN"/>
                <w:rFonts w:ascii="Times New Roman" w:hAnsi="Times New Roman" w:cs="Times New Roman"/>
                <w:sz w:val="20"/>
                <w:szCs w:val="20"/>
                <w:color w:val="000000"/>
              </w:rPr>
              <w:t>532425196312100329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3、田正才</w:t>
            </w:r>
          </w:p>
        </w:tc>
        <w:tc>
          <w:tcPr>
            <w:tcW w:w="2310" w:type="dxa"/>
            <w:vAlign w:val="center"/>
            <w:gridSpan w:val="2"/>
          </w:tcPr>
          <w:p>
            <w:pPr/>
            <w:r>
              <w:rPr>
                <w:lang w:val="zh-CN"/>
                <w:rFonts w:ascii="Times New Roman" w:hAnsi="Times New Roman" w:cs="Times New Roman"/>
                <w:sz w:val="20"/>
                <w:szCs w:val="20"/>
                <w:color w:val="000000"/>
              </w:rPr>
              <w:t>532425196403290316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4、朱晓丽</w:t>
            </w:r>
          </w:p>
        </w:tc>
        <w:tc>
          <w:tcPr>
            <w:tcW w:w="2310" w:type="dxa"/>
            <w:vAlign w:val="center"/>
            <w:gridSpan w:val="2"/>
          </w:tcPr>
          <w:p>
            <w:pPr/>
            <w:r>
              <w:rPr>
                <w:lang w:val="zh-CN"/>
                <w:rFonts w:ascii="Times New Roman" w:hAnsi="Times New Roman" w:cs="Times New Roman"/>
                <w:sz w:val="20"/>
                <w:szCs w:val="20"/>
                <w:color w:val="000000"/>
              </w:rPr>
              <w:t>532425196410090320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5、马建康</w:t>
            </w:r>
          </w:p>
        </w:tc>
        <w:tc>
          <w:tcPr>
            <w:tcW w:w="2310" w:type="dxa"/>
            <w:vAlign w:val="center"/>
            <w:gridSpan w:val="2"/>
          </w:tcPr>
          <w:p>
            <w:pPr/>
            <w:r>
              <w:rPr>
                <w:lang w:val="zh-CN"/>
                <w:rFonts w:ascii="Times New Roman" w:hAnsi="Times New Roman" w:cs="Times New Roman"/>
                <w:sz w:val="20"/>
                <w:szCs w:val="20"/>
                <w:color w:val="000000"/>
              </w:rPr>
              <w:t>532425196508120313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6、马越祥</w:t>
            </w:r>
          </w:p>
        </w:tc>
        <w:tc>
          <w:tcPr>
            <w:tcW w:w="2310" w:type="dxa"/>
            <w:vAlign w:val="center"/>
            <w:gridSpan w:val="2"/>
          </w:tcPr>
          <w:p>
            <w:pPr/>
            <w:r>
              <w:rPr>
                <w:lang w:val="zh-CN"/>
                <w:rFonts w:ascii="Times New Roman" w:hAnsi="Times New Roman" w:cs="Times New Roman"/>
                <w:sz w:val="20"/>
                <w:szCs w:val="20"/>
                <w:color w:val="000000"/>
              </w:rPr>
              <w:t>532425196012130315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7、马宏梅</w:t>
            </w:r>
          </w:p>
        </w:tc>
        <w:tc>
          <w:tcPr>
            <w:tcW w:w="2310" w:type="dxa"/>
            <w:vAlign w:val="center"/>
            <w:gridSpan w:val="2"/>
          </w:tcPr>
          <w:p>
            <w:pPr/>
            <w:r>
              <w:rPr>
                <w:lang w:val="zh-CN"/>
                <w:rFonts w:ascii="Times New Roman" w:hAnsi="Times New Roman" w:cs="Times New Roman"/>
                <w:sz w:val="20"/>
                <w:szCs w:val="20"/>
                <w:color w:val="000000"/>
              </w:rPr>
              <w:t>532425196804250323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22960.00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退餐费</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-350.00</w:t>
            </w:r>
          </w:p>
        </w:tc>
        <w:tc>
          <w:tcPr>
            <w:tcW w:w="2310" w:type="dxa"/>
          </w:tcPr>
          <w:p>
            <w:pPr/>
            <w:r>
              <w:rPr>
                <w:lang w:val="zh-CN"/>
                <w:rFonts w:ascii="Times New Roman" w:hAnsi="Times New Roman" w:cs="Times New Roman"/>
                <w:sz w:val="20"/>
                <w:szCs w:val="20"/>
                <w:color w:val="000000"/>
              </w:rPr>
              <w:t>-2450.00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总金额：贰万零伍佰壹拾元整</w:t>
            </w:r>
          </w:p>
        </w:tc>
        <w:tc>
          <w:tcPr>
            <w:tcW w:w="2310" w:type="dxa"/>
            <w:textDirection w:val="right"/>
            <w:gridSpan w:val="3"/>
          </w:tcPr>
          <w:p>
            <w:pPr/>
            <w:r>
              <w:rPr>
                <w:lang w:val="zh-CN"/>
                <w:rFonts w:ascii="Times New Roman" w:hAnsi="Times New Roman" w:cs="Times New Roman"/>
                <w:b/>
                <w:color w:val="FF0000"/>
              </w:rPr>
              <w:t>20510.00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乘坐指定航班前往大连，抵达后入住酒店休息。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早餐：不含；午餐：不含；晚餐：含；住宿：大连</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大连-丹东(汽车大巴)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中朝边境--丹东；鸭绿江边旅游度假区欣赏【中朝友谊桥】【鸭绿江断桥】（不上桥）：这是历史上横跨中朝两国的第一座大桥，重温抗美援朝战役“雄赳赳气昂昂、跨过鸭绿江、保和平、卫祖国、就是保家乡”的磅礴气势。红色遗址-【燕窝铁路浮桥遗址】桥头岸边立有两组主题分别为《送别亲人》和《告别祖国》的雕塑，再现了祖国亲人送别志愿军战士赴朝作战历史场景。【中朝边界一步跨】这里是中朝水路边界最近的地方。在鸭绿江中，只要不上岸，就不算越境。感受两国近在咫尺，却远在天涯的异国风情。沿途可远观万里长城的最东端起点【虎山长城外观】，天然奇景-“睡观音”；观【国门】【中朝边境19号界碑】景区需要乘坐小火车前往国门、界碑、抗美援朝纪念馆。（小火车100元需自理）看通往朝鲜清水县的的一条铁路-抗美援朝铁路大桥旧址，让您在观景的同时更多的了解抗美援朝历史及铁路在这次战争的重要作用。一面欣赏风景，一面缅怀历史，后登上全长  510米的木栈道，远处眺望，沿江两岸群峰竞秀，九道十八弯清幽婉转，烟波浩渺。【铁道抗美援朝博物馆】，主要是以图片和物品的形式，展现铁路工人在抗美援朝时期所做出的巨大贡献。而后登上惊险刺激的45米长的辽宁【探江式玻璃栈道】，在探江栈道上看江水脚下翻滚流淌，壮观之感不言而喻，让您体验下心跳喉咙、流连忘返的感觉。【鸭绿江朝鲜内河游船】（不含120元/人需自理）乘坐鸭绿江上游内河游船，欣赏江畔泊船的如画景色，南与朝鲜隔江相望，近观朝鲜第二大工业区清水市，朝鲜女子兵营、朝鲜暗堡、海关、集体农庄、朝方军人巡逻渡船等。晚餐特色安排：《朝鲜族歌舞特色餐》感受朝鲜族舞蹈优美典雅，其舞姿或柔婉袅娜，如仙鹤展翅，如柳枝拂水;或刚劲跌岩，活泼潇洒，反映了明朗激昂与细腻委婉、含蓄深沉的民族性格。您可以边品赏平壤风味菜，边观看北朝鲜姑娘的歌舞音乐表演。美景、美食一定会让你难以忘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丹东-旅顺-大连(汽车大巴)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旅顺；外观【旅顺军港】旅顺军港被誉为京津门户，天然形胜，被誉为“天下奇观”。在全世界范围内都是屈指可数的天然不冻良港！后前往游览【日俄监狱旧址博物馆】（周一闭馆），这里曾是日本侵略者关押和残害中国爱国义士和朝鲜、日本、前苏联等国家的反战人士的地方。在这里可以看到完整而庞大的监狱设施。游览【肃亲王府外观+夏洛特烦恼的拍摄地】太阳沟到处都充满着诗情画意，马路宽阔，路两侧花草树木覆盖，有很多百年龙柏，造型非常独特漂亮，国内仅有。途径【旅顺火车站】世界最小的火车站，旅顺小火车站由沙皇俄国侵占旅顺时期修建筑的，是一座充满俄罗斯风情的木制建筑物，如今这座火车站仍然在使用中，它是东北铁路沿线剩下的保存较完整的欧式火车站建筑。午餐安排东北特色名菜《东北铁锅炖》，风靡关东三百年，来大连是必不可错过的美食之一。围炉而坐，一锅热腾腾的铁锅炖菜都能让人从舌尖一直暖到心里。在这里能体验到具有浓浓的东北民俗风情。后乘车赴--大连；游览【东方威尼斯水城】：威尼斯水城是以威尼斯城为蓝本，水城运河贯穿200多座欧式城堡和布鲁日风情街道，“贡多拉小船”游走于欧式城堡间。在这里，你可以一边体验异域风情，一边书写属于你自己的水城故事。还可观大连国际会议中心、游艇码头、大型音乐喷泉广场等等。【地标建筑——中国首座海上地锚式悬索双层跨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烟台-蓬莱-威海(汽车大巴)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接船后前往游览【东炮台海滨风景区】这块海域曾被世界旅游组织专家称为“可与地中海沿岸相媲美的海域，风光旖旎,植被繁茂，海水清澈,礁石奇异，是集海滨自然风光、古迹遗址、历史文化人文自然景观于一体的海滨旅游景区。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乘车赴人间仙境-蓬莱；游览【八仙过海大型雕塑】远眺丹崖山壮美的山海，遥望海天一色美景，倾听优美动人的八仙过海传说。雕塑后面广阔的海滨，置身其中遥望海的尽头，静坐聆听海的歌声与呼唤。游览【蓬莱阁】（60 周岁以下门票自理 100 元/人）蓬莱阁坐落在蓬莱市城北海边的山崖上，它与滕王阁、黄鹤楼、岳阳楼一起并称中国古代四大名楼。素有仙境之称的蓬莱，自古便是秦皇汉武求仙访药之处。广为流传的“八仙过海”传说和“海市蜃楼”奇观享誉海内外。然后乘车前往威海入住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威海-青岛(汽车大巴)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威海之门—【幸福门公园】欣赏‘东方凯旋门’远眺不沉的舰艇，甲午海战发生地【5A级刘公岛】，赏山，海，岛，城，【万福图】把幸福带回家，隔海对面【韩国首尔】最为璀璨的是海上公园，与大海相连，碧海蓝天、红花绿树、海鸥飞舞、碧浪翻涌，景中有海，海中有景。【威海小镰仓—火炬八街】据说是和日本镰仓最像的地方。彩色的房子，湛蓝的天空，路的尽头便是海，迎着太阳，吹着海风，分外美好。这类似日本动漫的街道莫名的有镜头感。然后乘车前往“东方瑞士”—青岛；游览青岛百年象征【4A栈桥】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远眺青岛名字的由来【小青岛】曾被德国人侵占后作为重要的军事基地并在1900年修建了最早的灯塔。沿途车览欣赏青岛【八大关风景区】【中山路】【天主教堂】【波螺油子马路】【东海路雕塑一条街】等青岛特色美景，游览青岛中心【五四广场】五四广场位于山东省青岛市市南区东海西路，北依青岛市人民政府办公大楼，南临浮山湾，总占地面积  10  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游览【奥帆中心】2008 年第 29 届奥运会和 13 届残奥会帆船比赛在此举行；青岛因常年承接国内外重大帆船赛事，亦被称为“帆船之都”；晚上入住酒店休息！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青岛-曲阜(汽车大巴)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至素有“水上运动之都”东方太阳城--日照。游览【万平口度假区】位于日照最美海滨景观带，是日照标志。东临碣石，以观沧海，欣赏黄海的浩瀚、惊涛拍岸的壮观！游览【奥林匹克小镇】是国家AAAA 级景区--CCTV 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赠送体验5 球/人） 优雅挥杆，享受贵族GOLF，还有5 次中奖机会；一杆进洞～奖励现金10000 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 视频刷爆朋友圈。下午前往曲阜游览【5A三孔】（60岁以下现补门票140元，景交50元/人，必须自理）-孔子嫡系子孙居住的地方--【5A孔府】整个府第拥有厅、堂、楼、轩等463间，至今已有2000多年历史，是一座典型的中国贵族门户之家。参观世界上延时久、保存完整、面积之大的家族性墓地--【5A孔林】这里是埋葬孔子及其后裔的地方，占地面积3000余亩，各种植物树木郁郁葱葱，是天然的森林氧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早餐：含；午餐：含；晚餐：含；住宿：曲阜/泰安</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曲阜-济南(汽车大巴)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东方圣城-曲阜；拜孔子、习古礼；听快书、赏扬琴；穿汉服拜孔子专业的主持带队拜孔子举行辛丑年祭孔拜师活动寄以弘扬优秀传统文化，承延圣哲精神，共筑中国梦，建设和谐幸福家园，赠送【穿汉服拜孔子】；-我国宏大的私人祭祀庙宇－【5A孔庙】孔庙以皇宫的规格而建，是历代帝王祭祀孔子的庙宇，为我国三大古建筑群之一，其中的“大成殿”与泰山岱庙“天贶殿”、北京故宫“太和殿”并称“中国古代三大殿”。下午前往泰安游览【5A岱庙】岱庙主祀“东岳泰山之神”，是古代帝王来泰山举行祭祀大典和封禅告祭的地方。史料记载：“秦即作畴，汉亦起宫”，与北京故宫、曲阜三孔、承德避暑山庄并称中国四大古建筑群。然后前往游览【5A泰山风景区】（60岁以下现补门票 115元，上下山景交往返70/人必须自理，索道往返200/人）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从天外村乘交通车至【中天门】，步行或者缆车上山步行登山至【岱山景区】中途游览“天门一长啸，万里清风来”的【南天门】、【十八盘】“天上的街市”【天街】天然书法博物馆【摩崖石刻】、【拱北石】、【日观峰】、泰山标志【五岳独尊石】至泰山极顶【玉皇顶】感受“会当凌绝顶，一览众山小”的壮志豪情！时间充足，让您充分游览五岳独尊之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5A黑虎泉】黑虎泉为济南四大泉群之一（趵突泉、黑虎泉、珍珠泉、五龙潭），它位于济南环城公园内，泉城广场东部，在绿树掩映之下，与广场东边的古城护城河相连，又与对面的解放阁相望。泉水涌量仅次于趵突泉，在济南众泉中占第二位。经过泉城的标志—【泉城广场】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游览【5A大明湖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然后乘坐指定航班返回温馨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因不可抗力因素所引致的额外费用；2、因旅游者违约、自身过错、自身疾病导致的人身财产损失而额外支付的费用；3、团体旅游意外险及交通意外险(建议旅游者购买)；4、个人消费（如酒水、饮料，酒店内洗衣、电话等未提到的其它服务）；5、单人房差或加床费用；6、酒店押金；7、“旅游费用包含”内容以外的所有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60岁以下不含行程所标景点的首道大门票（景区打包优惠价，任何证件无优惠），不含景区内的小交通费用，视情形客人自愿购买。60岁以下需补门票：60岁以以下：泰山115+三孔140+蓬莱阁100=355山东段自费项目：帆船出海+德国皇宫+文城城堡+幸福门登顶=399元/人大连丹东段自费项目：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纳艳桃</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2024/6/14 17:19:12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