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张海</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6.12东北全景双飞15日（通辽版）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2025-06-12 MU5899 昆明→沈阳 15:50-20:05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2025-06-26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1、杨慧琼</w:t>
            </w:r>
          </w:p>
        </w:tc>
        <w:tc>
          <w:tcPr>
            <w:tcW w:w="2310" w:type="dxa"/>
            <w:vAlign w:val="center"/>
            <w:gridSpan w:val="2"/>
          </w:tcPr>
          <w:p>
            <w:pPr/>
            <w:r>
              <w:rPr>
                <w:lang w:val="zh-CN"/>
                <w:rFonts w:ascii="Times New Roman" w:hAnsi="Times New Roman" w:cs="Times New Roman"/>
                <w:sz w:val="20"/>
                <w:szCs w:val="20"/>
                <w:color w:val="000000"/>
              </w:rPr>
              <w:t>532329196501310026</w:t>
            </w:r>
          </w:p>
        </w:tc>
        <w:tc>
          <w:tcPr>
            <w:tcW w:w="2310" w:type="dxa"/>
            <w:vAlign w:val="center"/>
          </w:tcPr>
          <w:p>
            <w:pPr/>
            <w:r>
              <w:rPr>
                <w:lang w:val="zh-CN"/>
                <w:rFonts w:ascii="Times New Roman" w:hAnsi="Times New Roman" w:cs="Times New Roman"/>
                <w:sz w:val="20"/>
                <w:szCs w:val="20"/>
                <w:color w:val="000000"/>
              </w:rPr>
              <w:t>13508850866</w:t>
            </w:r>
          </w:p>
        </w:tc>
        <w:tc>
          <w:tcPr>
            <w:tcW w:w="2310" w:type="dxa"/>
            <w:vAlign w:val="center"/>
          </w:tcPr>
          <w:p>
            <w:pPr/>
            <w:r>
              <w:rPr>
                <w:lang w:val="zh-CN"/>
                <w:rFonts w:ascii="Times New Roman" w:hAnsi="Times New Roman" w:cs="Times New Roman"/>
                <w:sz w:val="20"/>
                <w:szCs w:val="20"/>
                <w:color w:val="000000"/>
              </w:rPr>
              <w:t>2、李文英</w:t>
            </w:r>
          </w:p>
        </w:tc>
        <w:tc>
          <w:tcPr>
            <w:tcW w:w="2310" w:type="dxa"/>
            <w:vAlign w:val="center"/>
            <w:gridSpan w:val="2"/>
          </w:tcPr>
          <w:p>
            <w:pPr/>
            <w:r>
              <w:rPr>
                <w:lang w:val="zh-CN"/>
                <w:rFonts w:ascii="Times New Roman" w:hAnsi="Times New Roman" w:cs="Times New Roman"/>
                <w:sz w:val="20"/>
                <w:szCs w:val="20"/>
                <w:color w:val="000000"/>
              </w:rPr>
              <w:t>53232919690509004X</w:t>
            </w:r>
          </w:p>
        </w:tc>
        <w:tc>
          <w:tcPr>
            <w:tcW w:w="2310" w:type="dxa"/>
            <w:vAlign w:val="center"/>
          </w:tcPr>
          <w:p>
            <w:pPr/>
            <w:r>
              <w:rPr>
                <w:lang w:val="zh-CN"/>
                <w:rFonts w:ascii="Times New Roman" w:hAnsi="Times New Roman" w:cs="Times New Roman"/>
                <w:sz w:val="20"/>
                <w:szCs w:val="20"/>
                <w:color w:val="000000"/>
              </w:rPr>
              <w:t>18908784569</w:t>
            </w:r>
          </w:p>
        </w:tc>
      </w:tr>
      <w:tr>
        <w:tc>
          <w:tcPr>
            <w:tcW w:w="2310" w:type="dxa"/>
            <w:vAlign w:val="center"/>
          </w:tcPr>
          <w:p>
            <w:pPr/>
            <w:r>
              <w:rPr>
                <w:lang w:val="zh-CN"/>
                <w:rFonts w:ascii="Times New Roman" w:hAnsi="Times New Roman" w:cs="Times New Roman"/>
                <w:sz w:val="20"/>
                <w:szCs w:val="20"/>
                <w:color w:val="000000"/>
              </w:rPr>
              <w:t>3、张曙俊</w:t>
            </w:r>
          </w:p>
        </w:tc>
        <w:tc>
          <w:tcPr>
            <w:tcW w:w="2310" w:type="dxa"/>
            <w:vAlign w:val="center"/>
            <w:gridSpan w:val="2"/>
          </w:tcPr>
          <w:p>
            <w:pPr/>
            <w:r>
              <w:rPr>
                <w:lang w:val="zh-CN"/>
                <w:rFonts w:ascii="Times New Roman" w:hAnsi="Times New Roman" w:cs="Times New Roman"/>
                <w:sz w:val="20"/>
                <w:szCs w:val="20"/>
                <w:color w:val="000000"/>
              </w:rPr>
              <w:t>532329197111110031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4、李云梅</w:t>
            </w:r>
          </w:p>
        </w:tc>
        <w:tc>
          <w:tcPr>
            <w:tcW w:w="2310" w:type="dxa"/>
            <w:vAlign w:val="center"/>
            <w:gridSpan w:val="2"/>
          </w:tcPr>
          <w:p>
            <w:pPr/>
            <w:r>
              <w:rPr>
                <w:lang w:val="zh-CN"/>
                <w:rFonts w:ascii="Times New Roman" w:hAnsi="Times New Roman" w:cs="Times New Roman"/>
                <w:sz w:val="20"/>
                <w:szCs w:val="20"/>
                <w:color w:val="000000"/>
              </w:rPr>
              <w:t>532329197506290321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总金额：贰万贰仟叁佰贰拾元整</w:t>
            </w:r>
          </w:p>
        </w:tc>
        <w:tc>
          <w:tcPr>
            <w:tcW w:w="2310" w:type="dxa"/>
            <w:textDirection w:val="right"/>
            <w:gridSpan w:val="3"/>
          </w:tcPr>
          <w:p>
            <w:pPr/>
            <w:r>
              <w:rPr>
                <w:lang w:val="zh-CN"/>
                <w:rFonts w:ascii="Times New Roman" w:hAnsi="Times New Roman" w:cs="Times New Roman"/>
                <w:b/>
                <w:color w:val="FF0000"/>
              </w:rPr>
              <w:t>22320.00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918元/人门票60-64岁门票需补638元/人门票65-69岁门票需补320元/人门票70岁以上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张海</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2025/6/7 11:21:03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