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风情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文振萱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13508859456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ZLY08FJ240716A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7.16梵音圣境王者双飞8日游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1、陈俐妃</w:t>
            </w:r>
          </w:p>
        </w:tc>
        <w:tc>
          <w:tcPr>
            <w:tcW w:w="2310" w:type="dxa"/>
            <w:vAlign w:val="center"/>
            <w:gridSpan w:val="2"/>
          </w:tcPr>
          <w:p>
            <w:pPr/>
            <w:r>
              <w:rPr>
                <w:lang w:val="zh-CN"/>
                <w:rFonts w:ascii="Times New Roman" w:hAnsi="Times New Roman" w:cs="Times New Roman"/>
                <w:sz w:val="20"/>
                <w:szCs w:val="20"/>
                <w:color w:val="000000"/>
              </w:rPr>
              <w:t>532322200701240020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2、舒玥媛</w:t>
            </w:r>
          </w:p>
        </w:tc>
        <w:tc>
          <w:tcPr>
            <w:tcW w:w="2310" w:type="dxa"/>
            <w:vAlign w:val="center"/>
            <w:gridSpan w:val="2"/>
          </w:tcPr>
          <w:p>
            <w:pPr/>
            <w:r>
              <w:rPr>
                <w:lang w:val="zh-CN"/>
                <w:rFonts w:ascii="Times New Roman" w:hAnsi="Times New Roman" w:cs="Times New Roman"/>
                <w:sz w:val="20"/>
                <w:szCs w:val="20"/>
                <w:color w:val="000000"/>
              </w:rPr>
              <w:t>532324200610060043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5980.00</w:t>
            </w:r>
          </w:p>
        </w:tc>
        <w:tc>
          <w:tcPr>
            <w:tcW w:w="2310" w:type="dxa"/>
          </w:tcPr>
          <w:p>
            <w:pPr/>
            <w:r>
              <w:rPr>
                <w:lang w:val="zh-CN"/>
                <w:rFonts w:ascii="Times New Roman" w:hAnsi="Times New Roman" w:cs="Times New Roman"/>
                <w:sz w:val="20"/>
                <w:szCs w:val="20"/>
                <w:color w:val="000000"/>
              </w:rPr>
              <w:t>11960.00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总金额：壹万壹仟玖佰陆拾元整</w:t>
            </w:r>
          </w:p>
        </w:tc>
        <w:tc>
          <w:tcPr>
            <w:tcW w:w="2310" w:type="dxa"/>
            <w:textDirection w:val="right"/>
            <w:gridSpan w:val="3"/>
          </w:tcPr>
          <w:p>
            <w:pPr/>
            <w:r>
              <w:rPr>
                <w:lang w:val="zh-CN"/>
                <w:rFonts w:ascii="Times New Roman" w:hAnsi="Times New Roman" w:cs="Times New Roman"/>
                <w:b/>
                <w:color w:val="FF0000"/>
              </w:rPr>
              <w:t>11960.00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2024/07/16</w:t>
            </w:r>
          </w:p>
        </w:tc>
        <w:tc>
          <w:tcPr>
            <w:tcW w:w="2310" w:type="dxa"/>
            <w:gridSpan w:val="7"/>
          </w:tcPr>
          <w:p>
            <w:pPr/>
            <w:r>
              <w:rPr>
                <w:lang w:val="zh-CN"/>
                <w:rFonts w:ascii="Times New Roman" w:hAnsi="Times New Roman" w:cs="Times New Roman"/>
                <w:b/>
                <w:color w:val="000000"/>
              </w:rPr>
              <w:t>昆明---兰州新区/西宁(飞机)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抵达兰州新区/西宁，落地后根据航班时间安排车接机，前往酒店报名字入住休息，休息期间可以自由活动。温馨提示：第一天晚上西宁入住的客人第二天会晚点出发跟兰州出发的客人汇合，望理解！1、请提前告知航班时间，地面联系人会提前一天以短信方式告知接机方式、集合地点等信息。如出发前一天下午21：00前还没有收到相关信息，请来电咨询。2、赠送接机服务，我们的工作人员提前出发前往机场接您。3、今日没有安排景点游览，自由活动，注意安全，无陪同，无用车，全天为接机时间。4、接送机与行程是分开用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早餐：不含；午餐：不含；晚餐：不含；住宿：兰州/西宁</w:t>
            </w:r>
          </w:p>
        </w:tc>
      </w:tr>
      <w:tr>
        <w:tc>
          <w:tcPr>
            <w:tcW w:w="2310" w:type="dxa"/>
            <w:vAlign w:val="center"/>
            <w:vMerge w:val="restart"/>
          </w:tcPr>
          <w:p>
            <w:pPr/>
            <w:r>
              <w:rPr>
                <w:lang w:val="zh-CN"/>
                <w:rFonts w:ascii="Times New Roman" w:hAnsi="Times New Roman" w:cs="Times New Roman"/>
                <w:sz w:val="20"/>
                <w:szCs w:val="20"/>
                <w:color w:val="000000"/>
              </w:rPr>
              <w:t>2024/07/17</w:t>
            </w:r>
          </w:p>
        </w:tc>
        <w:tc>
          <w:tcPr>
            <w:tcW w:w="2310" w:type="dxa"/>
            <w:gridSpan w:val="7"/>
          </w:tcPr>
          <w:p>
            <w:pPr/>
            <w:r>
              <w:rPr>
                <w:lang w:val="zh-CN"/>
                <w:rFonts w:ascii="Times New Roman" w:hAnsi="Times New Roman" w:cs="Times New Roman"/>
                <w:b/>
                <w:color w:val="000000"/>
              </w:rPr>
              <w:t>兰州新区/西宁--祁连（兰州新区到祁连505km 约6小时/西宁到祁连279Km 约3.5小时）--张掖（206km 约3小时）(汽车大巴)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酒店早餐，后前往祁连，车览祁连大草原位于青海甘肃交界处的祁连山山脉，平均海拔在4000米～5000米之间，高山积雪形成的硕长而宽阔的冰川地貌奇丽壮观，像一条横亘的银色巨龙属于高海拔草原。  草原、白云、牛羊群、雪山、牧民和冒着炊烟的帐篷构成了它绝美的画卷。游览【达坂山观油菜花海】（游览时间约30分钟），嫩绿的枝干，金黄的四朵花瓣，娇艳欲滴地站在苍茫雪原的绿洲深处，傲视天下名草名花，独领一种不惧霜寒的风骚。你甚至不需要灵敏的嗅觉，就能在目力所不能及的地方嗅到油菜花清醇的芳香，都说桂花十里香，但这一望无际的油菜花所蕴藏的香气何止十里，她整整延伸了一百多公里，香气熏透了整个门源盆地!  后乘车前往张掖。抵达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早餐：含；午餐：不含；晚餐：含；住宿：张掖</w:t>
            </w:r>
          </w:p>
        </w:tc>
      </w:tr>
      <w:tr>
        <w:tc>
          <w:tcPr>
            <w:tcW w:w="2310" w:type="dxa"/>
            <w:vAlign w:val="center"/>
            <w:vMerge w:val="restart"/>
          </w:tcPr>
          <w:p>
            <w:pPr/>
            <w:r>
              <w:rPr>
                <w:lang w:val="zh-CN"/>
                <w:rFonts w:ascii="Times New Roman" w:hAnsi="Times New Roman" w:cs="Times New Roman"/>
                <w:sz w:val="20"/>
                <w:szCs w:val="20"/>
                <w:color w:val="000000"/>
              </w:rPr>
              <w:t>2024/07/18</w:t>
            </w:r>
          </w:p>
        </w:tc>
        <w:tc>
          <w:tcPr>
            <w:tcW w:w="2310" w:type="dxa"/>
            <w:gridSpan w:val="7"/>
          </w:tcPr>
          <w:p>
            <w:pPr/>
            <w:r>
              <w:rPr>
                <w:lang w:val="zh-CN"/>
                <w:rFonts w:ascii="Times New Roman" w:hAnsi="Times New Roman" w:cs="Times New Roman"/>
                <w:b/>
                <w:color w:val="000000"/>
              </w:rPr>
              <w:t>张掖--嘉峪关（230KM、约3小时）--敦煌（380KM、约5小时）(汽车大巴)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览【嘉峪关城楼】（含电瓶车，游览1-2小时）嘉峪关城楼是明代万里长城的西端起点，是明代长城沿线建造规模最为壮观，保存程度最为完好的一座古代军事城堡。随后出发前往瓜州（260KM、约3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参观【汉武帝雕像】(游览15分钟）青年雕塑家张万兴创作的以丝路文明为背景的大型户外雕塑作品，也是“荒野艺术计划”大型艺术创作活动系列作品之一。坐落在广袤无垠的沙漠中，神情威严肃穆。参观结束后乘车前往敦煌，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早餐：含；午餐：含；晚餐：不含；住宿：敦煌</w:t>
            </w:r>
          </w:p>
        </w:tc>
      </w:tr>
      <w:tr>
        <w:tc>
          <w:tcPr>
            <w:tcW w:w="2310" w:type="dxa"/>
            <w:vAlign w:val="center"/>
            <w:vMerge w:val="restart"/>
          </w:tcPr>
          <w:p>
            <w:pPr/>
            <w:r>
              <w:rPr>
                <w:lang w:val="zh-CN"/>
                <w:rFonts w:ascii="Times New Roman" w:hAnsi="Times New Roman" w:cs="Times New Roman"/>
                <w:sz w:val="20"/>
                <w:szCs w:val="20"/>
                <w:color w:val="000000"/>
              </w:rPr>
              <w:t>2024/07/19</w:t>
            </w:r>
          </w:p>
        </w:tc>
        <w:tc>
          <w:tcPr>
            <w:tcW w:w="2310" w:type="dxa"/>
            <w:gridSpan w:val="7"/>
          </w:tcPr>
          <w:p>
            <w:pPr/>
            <w:r>
              <w:rPr>
                <w:lang w:val="zh-CN"/>
                <w:rFonts w:ascii="Times New Roman" w:hAnsi="Times New Roman" w:cs="Times New Roman"/>
                <w:b/>
                <w:color w:val="000000"/>
              </w:rPr>
              <w:t>敦煌--鸣沙山月牙泉--莫高窟--敦煌(汽车大巴)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世界文化遗产【莫高窟】(游览2-3小时）（B票、观看4个洞窟)，莫高窟是集建筑、彩塑、壁画为一体的文化艺术宝库，内容涉及古代社会的艺术、历史、经济、文化、宗教、教学等领域，具有珍贵的历史、艺术、科学价值，是中华民族的历史瑰宝，人类优秀的文化遗产。后前往参观【鸣沙山月牙泉】(不含电瓶车，游览时间2-3小时)，古往今来这里以"山泉共处，沙水共生"的奇妙景观著称于世，被誉为"敦煌八景"之一 。月牙泉处于鸣沙山环抱之中，其形酷似一弯新月而得名，被誉为"塞外风光之一绝"。后入住酒店。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 敦煌</w:t>
            </w:r>
          </w:p>
        </w:tc>
      </w:tr>
      <w:tr>
        <w:tc>
          <w:tcPr>
            <w:tcW w:w="2310" w:type="dxa"/>
            <w:vAlign w:val="center"/>
            <w:vMerge w:val="restart"/>
          </w:tcPr>
          <w:p>
            <w:pPr/>
            <w:r>
              <w:rPr>
                <w:lang w:val="zh-CN"/>
                <w:rFonts w:ascii="Times New Roman" w:hAnsi="Times New Roman" w:cs="Times New Roman"/>
                <w:sz w:val="20"/>
                <w:szCs w:val="20"/>
                <w:color w:val="000000"/>
              </w:rPr>
              <w:t>2024/07/20</w:t>
            </w:r>
          </w:p>
        </w:tc>
        <w:tc>
          <w:tcPr>
            <w:tcW w:w="2310" w:type="dxa"/>
            <w:gridSpan w:val="7"/>
          </w:tcPr>
          <w:p>
            <w:pPr/>
            <w:r>
              <w:rPr>
                <w:lang w:val="zh-CN"/>
                <w:rFonts w:ascii="Times New Roman" w:hAnsi="Times New Roman" w:cs="Times New Roman"/>
                <w:b/>
                <w:color w:val="000000"/>
              </w:rPr>
              <w:t>敦煌--水上雅丹（560KM 约8.5小时）--东台（40KM 约1小时）--大柴旦（200KM约3小时）(汽车大巴)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水上雅丹，途经南八仙雅丹，这是一片雅丹地貌，规模宏大，被风侵蚀的土林群。名称来自上世纪的八位女地质员，他们为了寻找石油资源而牺牲在这片土地。后途经俄博梁位于青海省冷湖以南地区的雅丹地貌，总面积达2万多平方公里，是迄今为止国内发现的最大的风蚀土林群，也是世界最大的、最典型的雅丹地貌景观之一，其中俄博梁雅丹地貌最为壮观、雄伟，最具观赏性。抵达后参观【水上雅丹】（游览1-1.5小时）（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后前往东台，参观【东台吉乃尔湖】（游览40分钟），湖的东部为沙质干盐滩，盐碱地广布，让东台吉乃尔湖变成了一片蓝白色的洁净世界，被来过的旅人冠以“高原马尔代夫”的名号，在阳光的照射下形成强烈对比，更像是柴达木盆地的眼睛，惊艳着这寂寂人间。随后出发前往大柴旦，途经最美U型公路（政府规定禁止停车），在国道315第781公里处，是著名的网红打卡地U型公路。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早餐：含；午餐：不含；晚餐：含；住宿：大柴旦</w:t>
            </w:r>
          </w:p>
        </w:tc>
      </w:tr>
      <w:tr>
        <w:tc>
          <w:tcPr>
            <w:tcW w:w="2310" w:type="dxa"/>
            <w:vAlign w:val="center"/>
            <w:vMerge w:val="restart"/>
          </w:tcPr>
          <w:p>
            <w:pPr/>
            <w:r>
              <w:rPr>
                <w:lang w:val="zh-CN"/>
                <w:rFonts w:ascii="Times New Roman" w:hAnsi="Times New Roman" w:cs="Times New Roman"/>
                <w:sz w:val="20"/>
                <w:szCs w:val="20"/>
                <w:color w:val="000000"/>
              </w:rPr>
              <w:t>2024/07/21</w:t>
            </w:r>
          </w:p>
        </w:tc>
        <w:tc>
          <w:tcPr>
            <w:tcW w:w="2310" w:type="dxa"/>
            <w:gridSpan w:val="7"/>
          </w:tcPr>
          <w:p>
            <w:pPr/>
            <w:r>
              <w:rPr>
                <w:lang w:val="zh-CN"/>
                <w:rFonts w:ascii="Times New Roman" w:hAnsi="Times New Roman" w:cs="Times New Roman"/>
                <w:b/>
                <w:color w:val="000000"/>
              </w:rPr>
              <w:t>大柴旦---茶卡（400KM约5小时）---青海湖沿线（150KM 约2.5小时）(汽车大巴)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参观【翡翠湖】（含区间车、游览1-1.5小时），是青海海西州的第三大人工湖，属于独特的盐湖风貌，是矿区资源开发后的产物，呈不同色调的蓝色或绿色。后参观【茶卡盐湖】或【茶卡壹号-盐湖景区】（含区间车、游览1.5-2小时）被誉为“人一生必去的55个地方”之一，更是摄影爱好者心中的摄影天堂。这里水天相连，如梦如幻，行走在湖面上，看着自己的倒影，犹如来到了仙境。还有群山，景色蔚为壮观，一个会让人迷失的世界，为国家5A级景区。后前往青海湖沿线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早餐：含；午餐：含；晚餐：不含；住宿：青海湖</w:t>
            </w:r>
          </w:p>
        </w:tc>
      </w:tr>
      <w:tr>
        <w:tc>
          <w:tcPr>
            <w:tcW w:w="2310" w:type="dxa"/>
            <w:vAlign w:val="center"/>
            <w:vMerge w:val="restart"/>
          </w:tcPr>
          <w:p>
            <w:pPr/>
            <w:r>
              <w:rPr>
                <w:lang w:val="zh-CN"/>
                <w:rFonts w:ascii="Times New Roman" w:hAnsi="Times New Roman" w:cs="Times New Roman"/>
                <w:sz w:val="20"/>
                <w:szCs w:val="20"/>
                <w:color w:val="000000"/>
              </w:rPr>
              <w:t>2024/07/22</w:t>
            </w:r>
          </w:p>
        </w:tc>
        <w:tc>
          <w:tcPr>
            <w:tcW w:w="2310" w:type="dxa"/>
            <w:gridSpan w:val="7"/>
          </w:tcPr>
          <w:p>
            <w:pPr/>
            <w:r>
              <w:rPr>
                <w:lang w:val="zh-CN"/>
                <w:rFonts w:ascii="Times New Roman" w:hAnsi="Times New Roman" w:cs="Times New Roman"/>
                <w:b/>
                <w:color w:val="000000"/>
              </w:rPr>
              <w:t>青海湖沿线---塔尔寺（150KM约2.5小时）---西宁（40KM 约1小时）/兰州市区（240KM约3.5小时）(汽车大巴)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中国内陆第一大咸水湖青海湖，游览【青海湖二郎剑景区】（游览1-2小时）在这颗高原明珠上，感受微风吹过在湖面卷起涟漪，眼前的湖泊，远处的雪山，放慢脚步，把美色留住。后乘车前往西宁，抵达后参观藏传佛教六大宗主寺之一的【塔尔寺】（游览时间1.5-2小时、含讲解费和区间车），首屈一指的名胜古迹和全国重点文物保护单位。因先有塔，而后有寺，故名塔尔寺。塔尔寺的酥油花、壁画和堆绣是其艺术三绝，非常值得一看。后参加【煨桑活动】是藏民族最普遍的一种宗教祈愿礼俗，是宗教场所不可或缺的形式之一，在有着悠久历史的雪域高原，有着厚重文化积淀的藏民族和藏传佛教，燃桑之举是有其产生的思想基础、社会背景的，也伴随着美好的传说。后乘车前往西宁/兰州市区，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早餐：含；午餐：含；晚餐：不含；住宿：西宁</w:t>
            </w:r>
          </w:p>
        </w:tc>
      </w:tr>
      <w:tr>
        <w:tc>
          <w:tcPr>
            <w:tcW w:w="2310" w:type="dxa"/>
            <w:vAlign w:val="center"/>
            <w:vMerge w:val="restart"/>
          </w:tcPr>
          <w:p>
            <w:pPr/>
            <w:r>
              <w:rPr>
                <w:lang w:val="zh-CN"/>
                <w:rFonts w:ascii="Times New Roman" w:hAnsi="Times New Roman" w:cs="Times New Roman"/>
                <w:sz w:val="20"/>
                <w:szCs w:val="20"/>
                <w:color w:val="000000"/>
              </w:rPr>
              <w:t>2024/07/23</w:t>
            </w:r>
          </w:p>
        </w:tc>
        <w:tc>
          <w:tcPr>
            <w:tcW w:w="2310" w:type="dxa"/>
            <w:gridSpan w:val="7"/>
          </w:tcPr>
          <w:p>
            <w:pPr/>
            <w:r>
              <w:rPr>
                <w:lang w:val="zh-CN"/>
                <w:rFonts w:ascii="Times New Roman" w:hAnsi="Times New Roman" w:cs="Times New Roman"/>
                <w:b/>
                <w:color w:val="000000"/>
              </w:rPr>
              <w:t>西宁/兰州市区---昆明(飞机)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酒店早餐后，根据航班时间安排送机，结束难忘的旅程！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文振萱</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15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2024/7/15 17:04:47</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