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13678770627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ZLY08FJ240806C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8.6.豪游甘青8日游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532522201208180015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2、丁莉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532522198203030048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??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??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?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?去水上雅丹一定要穿暖和，尤其是坐观光车的小伙伴，因为观光车开起来真的会有一点冷。2.?需要注意防晒，防晒霜记得涂，防风镜、墨镜帽子、防晒衣等一类防护用具都可以带上。3.?全程只有起始点有洗手间，所以我们要放松完再出发还要带上充足的水。4.?部分雅丹可以爬上去，寻找合适机位，用广角镜头拍摄雅丹地貌震撼的场景，长焦拍摄人景合一的场景。5.?一定要顺光拍，不然湖水，人像都会失色。6.?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李龙华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2024/7/30 18:36:48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