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刘慧芬</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刘慧芬</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ZLY08FJ240817A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8.17呼伦贝尔亲子双飞8日游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1、袁慕橙</w:t>
            </w:r>
          </w:p>
        </w:tc>
        <w:tc>
          <w:tcPr>
            <w:tcW w:w="2310" w:type="dxa"/>
            <w:vAlign w:val="center"/>
            <w:gridSpan w:val="2"/>
          </w:tcPr>
          <w:p>
            <w:pPr/>
            <w:r>
              <w:rPr>
                <w:lang w:val="zh-CN"/>
                <w:rFonts w:ascii="Times New Roman" w:hAnsi="Times New Roman" w:cs="Times New Roman"/>
                <w:sz w:val="20"/>
                <w:szCs w:val="20"/>
                <w:color w:val="000000"/>
              </w:rPr>
              <w:t>530302200404293006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2、袁芳</w:t>
            </w:r>
          </w:p>
        </w:tc>
        <w:tc>
          <w:tcPr>
            <w:tcW w:w="2310" w:type="dxa"/>
            <w:vAlign w:val="center"/>
            <w:gridSpan w:val="2"/>
          </w:tcPr>
          <w:p>
            <w:pPr/>
            <w:r>
              <w:rPr>
                <w:lang w:val="zh-CN"/>
                <w:rFonts w:ascii="Times New Roman" w:hAnsi="Times New Roman" w:cs="Times New Roman"/>
                <w:sz w:val="20"/>
                <w:szCs w:val="20"/>
                <w:color w:val="000000"/>
              </w:rPr>
              <w:t>532201196710301829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3、袁丽</w:t>
            </w:r>
          </w:p>
        </w:tc>
        <w:tc>
          <w:tcPr>
            <w:tcW w:w="2310" w:type="dxa"/>
            <w:vAlign w:val="center"/>
            <w:gridSpan w:val="2"/>
          </w:tcPr>
          <w:p>
            <w:pPr/>
            <w:r>
              <w:rPr>
                <w:lang w:val="zh-CN"/>
                <w:rFonts w:ascii="Times New Roman" w:hAnsi="Times New Roman" w:cs="Times New Roman"/>
                <w:sz w:val="20"/>
                <w:szCs w:val="20"/>
                <w:color w:val="000000"/>
              </w:rPr>
              <w:t>532201196406040484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4、袁琳</w:t>
            </w:r>
          </w:p>
        </w:tc>
        <w:tc>
          <w:tcPr>
            <w:tcW w:w="2310" w:type="dxa"/>
            <w:vAlign w:val="center"/>
            <w:gridSpan w:val="2"/>
          </w:tcPr>
          <w:p>
            <w:pPr/>
            <w:r>
              <w:rPr>
                <w:lang w:val="zh-CN"/>
                <w:rFonts w:ascii="Times New Roman" w:hAnsi="Times New Roman" w:cs="Times New Roman"/>
                <w:sz w:val="20"/>
                <w:szCs w:val="20"/>
                <w:color w:val="000000"/>
              </w:rPr>
              <w:t>532201197508220325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6280.00</w:t>
            </w:r>
          </w:p>
        </w:tc>
        <w:tc>
          <w:tcPr>
            <w:tcW w:w="2310" w:type="dxa"/>
          </w:tcPr>
          <w:p>
            <w:pPr/>
            <w:r>
              <w:rPr>
                <w:lang w:val="zh-CN"/>
                <w:rFonts w:ascii="Times New Roman" w:hAnsi="Times New Roman" w:cs="Times New Roman"/>
                <w:sz w:val="20"/>
                <w:szCs w:val="20"/>
                <w:color w:val="000000"/>
              </w:rPr>
              <w:t>25120.00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总金额：贰万伍仟壹佰贰拾元整</w:t>
            </w:r>
          </w:p>
        </w:tc>
        <w:tc>
          <w:tcPr>
            <w:tcW w:w="2310" w:type="dxa"/>
            <w:textDirection w:val="right"/>
            <w:gridSpan w:val="3"/>
          </w:tcPr>
          <w:p>
            <w:pPr/>
            <w:r>
              <w:rPr>
                <w:lang w:val="zh-CN"/>
                <w:rFonts w:ascii="Times New Roman" w:hAnsi="Times New Roman" w:cs="Times New Roman"/>
                <w:b/>
                <w:color w:val="FF0000"/>
              </w:rPr>
              <w:t>25120.00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2024/08/17</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2024/08/18</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2024/08/19</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2024/08/20</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2024/08/21</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2024/08/22</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2024/08/23</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2024/08/24</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刘慧芬</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2024/8/14 13:56:59</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