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W旅行团队/散客确认书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小朱</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13085354925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唐川艳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15398488547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ZLY12FJ260905A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甘青+甘南双飞12天</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1、瞿新华</w:t>
            </w:r>
          </w:p>
        </w:tc>
        <w:tc>
          <w:tcPr>
            <w:tcW w:w="2310" w:type="dxa"/>
            <w:vAlign w:val="center"/>
            <w:gridSpan w:val="2"/>
          </w:tcPr>
          <w:p>
            <w:pPr/>
            <w:r>
              <w:rPr>
                <w:lang w:val="zh-CN"/>
                <w:rFonts w:ascii="Times New Roman" w:hAnsi="Times New Roman" w:cs="Times New Roman"/>
                <w:sz w:val="20"/>
                <w:szCs w:val="20"/>
                <w:color w:val="000000"/>
              </w:rPr>
              <w:t>530103196503100018</w:t>
            </w:r>
          </w:p>
        </w:tc>
        <w:tc>
          <w:tcPr>
            <w:tcW w:w="2310" w:type="dxa"/>
            <w:vAlign w:val="center"/>
          </w:tcPr>
          <w:p>
            <w:pPr/>
            <w:r>
              <w:rPr>
                <w:lang w:val="zh-CN"/>
                <w:rFonts w:ascii="Times New Roman" w:hAnsi="Times New Roman" w:cs="Times New Roman"/>
                <w:sz w:val="20"/>
                <w:szCs w:val="20"/>
                <w:color w:val="000000"/>
              </w:rPr>
              <w:t>13608716325</w:t>
            </w:r>
          </w:p>
        </w:tc>
        <w:tc>
          <w:tcPr>
            <w:tcW w:w="2310" w:type="dxa"/>
            <w:vAlign w:val="center"/>
          </w:tcPr>
          <w:p>
            <w:pPr/>
            <w:r>
              <w:rPr>
                <w:lang w:val="zh-CN"/>
                <w:rFonts w:ascii="Times New Roman" w:hAnsi="Times New Roman" w:cs="Times New Roman"/>
                <w:sz w:val="20"/>
                <w:szCs w:val="20"/>
                <w:color w:val="000000"/>
              </w:rPr>
              <w:t>2、蔡凤琼</w:t>
            </w:r>
          </w:p>
        </w:tc>
        <w:tc>
          <w:tcPr>
            <w:tcW w:w="2310" w:type="dxa"/>
            <w:vAlign w:val="center"/>
            <w:gridSpan w:val="2"/>
          </w:tcPr>
          <w:p>
            <w:pPr/>
            <w:r>
              <w:rPr>
                <w:lang w:val="zh-CN"/>
                <w:rFonts w:ascii="Times New Roman" w:hAnsi="Times New Roman" w:cs="Times New Roman"/>
                <w:sz w:val="20"/>
                <w:szCs w:val="20"/>
                <w:color w:val="000000"/>
              </w:rPr>
              <w:t>530111196807216888</w:t>
            </w:r>
          </w:p>
        </w:tc>
        <w:tc>
          <w:tcPr>
            <w:tcW w:w="2310" w:type="dxa"/>
            <w:vAlign w:val="center"/>
          </w:tcPr>
          <w:p>
            <w:pPr/>
            <w:r>
              <w:rPr>
                <w:lang w:val="zh-CN"/>
                <w:rFonts w:ascii="Times New Roman" w:hAnsi="Times New Roman" w:cs="Times New Roman"/>
                <w:sz w:val="20"/>
                <w:szCs w:val="20"/>
                <w:color w:val="000000"/>
              </w:rPr>
              <w:t>13608716325</w:t>
            </w:r>
          </w:p>
        </w:tc>
      </w:tr>
      <w:tr>
        <w:tc>
          <w:tcPr>
            <w:tcW w:w="2310" w:type="dxa"/>
            <w:vAlign w:val="center"/>
          </w:tcPr>
          <w:p>
            <w:pPr/>
            <w:r>
              <w:rPr>
                <w:lang w:val="zh-CN"/>
                <w:rFonts w:ascii="Times New Roman" w:hAnsi="Times New Roman" w:cs="Times New Roman"/>
                <w:sz w:val="20"/>
                <w:szCs w:val="20"/>
                <w:color w:val="000000"/>
              </w:rPr>
              <w:t>3、张鲁芬</w:t>
            </w:r>
          </w:p>
        </w:tc>
        <w:tc>
          <w:tcPr>
            <w:tcW w:w="2310" w:type="dxa"/>
            <w:vAlign w:val="center"/>
            <w:gridSpan w:val="2"/>
          </w:tcPr>
          <w:p>
            <w:pPr/>
            <w:r>
              <w:rPr>
                <w:lang w:val="zh-CN"/>
                <w:rFonts w:ascii="Times New Roman" w:hAnsi="Times New Roman" w:cs="Times New Roman"/>
                <w:sz w:val="20"/>
                <w:szCs w:val="20"/>
                <w:color w:val="000000"/>
              </w:rPr>
              <w:t>530103196112181527</w:t>
            </w:r>
          </w:p>
        </w:tc>
        <w:tc>
          <w:tcPr>
            <w:tcW w:w="2310" w:type="dxa"/>
            <w:vAlign w:val="center"/>
          </w:tcPr>
          <w:p>
            <w:pPr/>
            <w:r>
              <w:rPr>
                <w:lang w:val="zh-CN"/>
                <w:rFonts w:ascii="Times New Roman" w:hAnsi="Times New Roman" w:cs="Times New Roman"/>
                <w:sz w:val="20"/>
                <w:szCs w:val="20"/>
                <w:color w:val="000000"/>
              </w:rPr>
              <w:t>18987256164</w:t>
            </w:r>
          </w:p>
        </w:tc>
        <w:tc>
          <w:tcPr>
            <w:tcW w:w="2310" w:type="dxa"/>
            <w:vAlign w:val="center"/>
          </w:tcPr>
          <w:p>
            <w:pPr/>
            <w:r>
              <w:rPr>
                <w:lang w:val="zh-CN"/>
                <w:rFonts w:ascii="Times New Roman" w:hAnsi="Times New Roman" w:cs="Times New Roman"/>
                <w:sz w:val="20"/>
                <w:szCs w:val="20"/>
                <w:color w:val="000000"/>
              </w:rPr>
              <w:t>4、梁红武</w:t>
            </w:r>
          </w:p>
        </w:tc>
        <w:tc>
          <w:tcPr>
            <w:tcW w:w="2310" w:type="dxa"/>
            <w:vAlign w:val="center"/>
            <w:gridSpan w:val="2"/>
          </w:tcPr>
          <w:p>
            <w:pPr/>
            <w:r>
              <w:rPr>
                <w:lang w:val="zh-CN"/>
                <w:rFonts w:ascii="Times New Roman" w:hAnsi="Times New Roman" w:cs="Times New Roman"/>
                <w:sz w:val="20"/>
                <w:szCs w:val="20"/>
                <w:color w:val="000000"/>
              </w:rPr>
              <w:t>530103195805010611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5、李玉</w:t>
            </w:r>
          </w:p>
        </w:tc>
        <w:tc>
          <w:tcPr>
            <w:tcW w:w="2310" w:type="dxa"/>
            <w:vAlign w:val="center"/>
            <w:gridSpan w:val="2"/>
          </w:tcPr>
          <w:p>
            <w:pPr/>
            <w:r>
              <w:rPr>
                <w:lang w:val="zh-CN"/>
                <w:rFonts w:ascii="Times New Roman" w:hAnsi="Times New Roman" w:cs="Times New Roman"/>
                <w:sz w:val="20"/>
                <w:szCs w:val="20"/>
                <w:color w:val="000000"/>
              </w:rPr>
              <w:t>530111196504082317</w:t>
            </w:r>
          </w:p>
        </w:tc>
        <w:tc>
          <w:tcPr>
            <w:tcW w:w="2310" w:type="dxa"/>
            <w:vAlign w:val="center"/>
          </w:tcPr>
          <w:p>
            <w:pPr/>
            <w:r>
              <w:rPr>
                <w:lang w:val="zh-CN"/>
                <w:rFonts w:ascii="Times New Roman" w:hAnsi="Times New Roman" w:cs="Times New Roman"/>
                <w:sz w:val="20"/>
                <w:szCs w:val="20"/>
                <w:color w:val="000000"/>
              </w:rPr>
              <w:t>13608816658</w:t>
            </w: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4980.00</w:t>
            </w:r>
          </w:p>
        </w:tc>
        <w:tc>
          <w:tcPr>
            <w:tcW w:w="2310" w:type="dxa"/>
          </w:tcPr>
          <w:p>
            <w:pPr/>
            <w:r>
              <w:rPr>
                <w:lang w:val="zh-CN"/>
                <w:rFonts w:ascii="Times New Roman" w:hAnsi="Times New Roman" w:cs="Times New Roman"/>
                <w:sz w:val="20"/>
                <w:szCs w:val="20"/>
                <w:color w:val="000000"/>
              </w:rPr>
              <w:t>24900.00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总金额：贰万肆仟玖佰元整</w:t>
            </w:r>
          </w:p>
        </w:tc>
        <w:tc>
          <w:tcPr>
            <w:tcW w:w="2310" w:type="dxa"/>
            <w:textDirection w:val="right"/>
            <w:gridSpan w:val="3"/>
          </w:tcPr>
          <w:p>
            <w:pPr/>
            <w:r>
              <w:rPr>
                <w:lang w:val="zh-CN"/>
                <w:rFonts w:ascii="Times New Roman" w:hAnsi="Times New Roman" w:cs="Times New Roman"/>
                <w:b/>
                <w:color w:val="FF0000"/>
              </w:rPr>
              <w:t>24900.00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昆明-兰州(飞机)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乘飞机飞往全国唯一黄河穿城而过的省会城市——兰州，专人接机，前往兰州市区，感受兰州、触摸兰州，黄河赋予这座高原古城水的轻灵和秀色，黄土高原赋予它山的豪迈与雄伟，入住酒店。温馨提示：1、您抵达兰州的前一天工作人员会通过短信或电话的方式在20点之前跟您联系，请保持手机畅通！2、抵达兰州指定酒店报姓名入住，酒店名称工作人员会提前一天以短信方式发送至您手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早餐：不含；午餐：不含；晚餐：不含；住宿：兰州</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兰州-麦积山-天水古城-天水(巴士)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早餐后，集早餐后，乘车前往天水市（宕昌/天水310公里，车程约4.5小时），抵达后参观游览【麦积山石窟】镌刻在绝壁上的佛国世界，透过那慈悲的声音,感受慈悲的心,你听:“麦积如山”“麦积如山”“麦积如 山”......美好的祈愿，朦胧了绵绵青岭、岁岁枯荣，这是麦积烟雨，这是雨露甘霖。麦积山，当年选址的人或许就因这名字而定址，也是期望神佑中华麦积如山。麦积如山！这是几千年来劳动大众的一个心愿，天地同心祝福，人神共祈愿！祝愿国运兴隆，代人的中国梦。在游览到最高处时，我放眼周边，群山如波浪澎湃，翠浮绿涌，浩浩荡荡，最难得的是清风爽爽，阳光净净，蝶飞千花艳，松咏天地清。伏羲故里，自然生态走廊。之后参观游览【天水古城- 夜景】古民居建筑群落规模较大和保存较完整的天水市西关片区。2018年以来，当地为恢复古城原貌，延续历史脉，启动抢救性保护修缮工作，本着“修旧如旧”的原则，修复了62座文物保护院落等重点部位，全面打造历史文化街区，之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早餐：含；午餐：含；晚餐：含；住宿：天水</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天水-小九寨官鹅沟-迭部(巴士)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早餐后，前往参观游览【官鹅沟】官鹅沟水美。13个大小不等、形态各异的湖泊，尤如一串绿色的珍珠镶嵌在沟内，湖水清澈透底，随湖底地貌 高低呈不同颜色，那些倒映在湖中的古树象一条条巨龙卧在湖底。蓝 天白云和青山古树，映入湖中，使天地浑然一体，没有界界限。官鹅沟 雄伟，在海拔1760米--4150米之间，群山错落，绿水环绕，古树差天，气象万千，秀丽处山体你拉我牵，婀娜多姿;雄伟处绝壁悬崖直插云霄，气势恢宏，蔚为壮观，处处都是山水画。官鹅沟奇险。在湖泊和雪山之间，9道险峻深幽的峡谷让人惊叹不已。在长数百米、高数百米、宽仅十米的各种形态峡谷中，河水震耳欲聋，凉风扑面而来，悬崖古松 掩日，瀑布飞泻直下，游人至此，胆小者害怕至极，有身处绝境之感，如此鬼斧神工的自然奇观，实属国内之罕见。一诗人欣然赋诗:揽胜偏怜日月长，鹅沟炎夏水风凉。奇峰叠翠通幽谷，雪浪喷珠泻石梁。万木欣荣青带玉，重崖森迥瀑飞先，绿荫满抱姿游兴，珠粉岩边野卉香，之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早餐：含；午餐：含；晚餐：含；住宿：迭部</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迭部-扎尕那-花湖-若尔盖(巴士)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游览【扎尕那】上帝的伊甸园，美国《国家地理》摄影师约瑟夫·洛克让全世界的游人都迷恋上了丽江和贡嘎雪山，他也曾到过扎尕那，他说“我平生未见如此绮丽的景色。如果《创世纪》的作者曾看见迭部的美景，将会把亚当和夏娃的诞生地放在这里。”。然而他如此盛赞的地方，甚至整个甘南之精华所在的扎尕那——至今却依旧鲜为人知，这让扎尕那更像是山神的秘密行宫，若有机会与它仙境一般的壮丽华美相遇，是一种神秘的仪式。后游览【花湖】人间美景，有人说花湖像初恋的滋味，虽然早有准备，但当它闯入眼帘时还是像一记重拳击中内心，头晕目眩，一片空白。有人说花湖是一座小小的寂寞的城，柔弱的，宽容的，淡然的，丰富的，饱满的，不屑一顾的，自开自落的。在今天，花湖因为鲜为人知而更加神秘衿贵：亘古不变的小木亭子，长长的栈道，大片的湖水，大片的天空，水天之间纠缠的云彩，从花湖回来的照片永远是这样简单的组合。却永远让人一见倾心。别无选择。简单，安静却让人燃烧，这就是花湖，寂寞如此妖娆的花湖，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早餐：含；午餐：含；晚餐：含；住宿：若尔盖</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若尔盖-黄河九曲第一湾-郎木寺-郭莽湿地-夏河/合作(巴士)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游览【黄河九曲第一湾】宇宙中的庄严幻景，沿木质廊梯登山顶远眺，但见白河逶迤直达天际，黄河婉蜒折北而逝，草连水，水连天，苍苍茫茫，两条河流优雅别致，像一对情侣，携手走向西北天边，令人胸襟开阔。天地之间，绿草茵茵，繁花似锦，芳香幽幽，一望无涯。草地中星落棋布地点缀着无数小湖泊，湖水碧蓝，簇簇帐篷、缕缕炊烟、牧歌声声、骏马驰骋，如诗如画，美不胜收。古寺白塔，相伴黄河，更显自然之悠远博大。于天高地远处看云卷云舒，无论怎样的沮丧、懊悔还是悲苦，又或者如何的 得意、志满甚至狂妄，都会被它的旷达和悠远消弭成心平气和，云淡 风轻，之后乘车前往游览【郎木寺】晨光中的桃花源，郎木寺并不是一个寺庙，而是一个小镇。一条叫“白龙江”的小溪从镇中流过，分界又联结了两个省份，融合了藏、回两个和平共处的民族；郎木寺也是个传奇的地方，50年代的时候一名美国传教士发现了这里，写了一本书，造成了轰动。他的文章发表在美国国家地理上，那篇文章附有一张中国地图，地图上只标了两个点，一个是北京，另一个就是郎木寺，途中参观游览【郭莽湿地】郭莽湿地位于碌曲县尕海镇 213国道旁，是黄河最大支流洮河的发源地和水源涵养地，这是一个开放式景点，站在观景台上，观赏一望无际的大草原，让人心旷神怡，弯弯的小河，傍水而居的小村庄，白云朵朵，绿草如茵，经幡飘扬，好似一幅美丽的生态画卷，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早餐：含；午餐：含；晚餐：含；住宿：夏河/合作</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夏河/合作-桑科草原-拉卜楞寺-塔尔寺-西宁(巴士)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游览【桑科草原】重新诠释绿色，桑科草原是桑科乡达久滩（“跑马滩”之意）草原的一部分，为四周群山环抱，中间是开阔平坦的高山草原。桑科草原风景沿途都能看到，进入草原游玩主要是参加藏家乐的活动。每年农历七月三十，达久滩上会举行盛大的赛马活动，热闹非凡，后游览【拉卜楞寺】转山转水转转经筒，《天下无贼》真正的拍摄地不在西藏，而在甘南拉卜楞寺——佛光闪耀的圣域。拉卜楞寺是藏语“拉章”的变音，意思为活佛大师的府邸，是藏传佛教格鲁派六大寺院之一，更是被世界誉为“世界藏学府”，这里还拥有世界最长的转经长廊，有1700多个转经筒，长达数里，转遍每个转经筒需一个多小时，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早餐：含；午餐：含；晚餐：含；住宿：西宁</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西宁-青海湖-茶卡盐湖-德令哈(巴士)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早餐后，乘车前往参观游览【青海湖二郎剑景区】蓝天、白 云、雪山、草原、牛羊马、青色的海，组成了青海湖一道又一道美丽 动人的风景线，每一个细节都让人心动，那犹如海平面上的日出，那 夏天温柔的微风，那绿色草地上自由自在的牦牛，触手可及的高原白 云、一抹蓝到心醉的湖水，绽放盛夏的灿烂花海，肉眼可见的璀璨星 河……，之后观游览【茶卡盐湖】茶卡盐湖是摄影师的天堂，南美的天空 之境在玻利维亚，中国的天空之境在茶卡，茶卡盐湖，像上帝的一滴 眼泪散落在丝路，在这里，可以乘小火车深入湖中观光，可以观看现 代化大型采盐船采盐时喷水吞珠的壮丽场景，可以欣赏盐湖日出和晚 霞的绚丽画卷，可以透过清盈的湖水，观赏形状各异、正在生长的栩 栩如生的朵朵盐花，后入住酒店休息。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早餐：含；午餐：含；晚餐：含；住宿：德令哈</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德令哈-翡翠湖-石油小镇-敦煌(巴士)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翡翠湖】它是隐藏在大柴旦深处的一颗上好的翡翠，很少有人知道，却美的让人心动，因含钾镁锂等金属元素和卤化物，盐床或淡青、翠绿或深蓝交替、与湖里盐花辉印调色成碧绿焕彩的翡翠田园，所以称为翡翠湖。途中途中参观游览【石油小镇】石油小镇他位于甘肃省阿克赛的一个老县城，曾经也是一个繁华的小镇，在早年的时候那个地方主要开采石油，大家才会把这个小镇称之为石油小镇，因为随着时间的推移这个地方的石油慢慢的被开采完了，渐渐的没有人出入变荒废了，荒废的宿舍、加油站、掉落的牌子等等一片颓废不堪的模样。因为在中国的西部条件恶劣、环境差等等很多人也不再问津，整整荒废了二十年，直到2017年拍摄电影《九层妖塔》在这里取景，让这个荒废的小镇又重新的被大家知道，为他迎来了一次辉煌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早餐：含；午餐：含；晚餐：含；住宿：敦煌</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敦煌-莫高窟-鸣沙山月牙泉-敦煌(巴士)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游览参观世界文化遗产【莫高窟】（敦煌/莫高窟9公里，车程约15分钟，参观约3小时），千手观音舞姿婆娑、吉祥飞天花雨缤纷，彩塑、壁画、建筑、佛经；中土与西域的灿烂交汇，神话与传奇的岁月流传下，观影《千年莫高》《梦幻佛都》，中餐后参观大漠戈壁之中大自然鬼斧神工的杰作【鸣沙山、月牙泉】（不含骆驼、滑沙，敦煌/鸣沙山6公里，车程约15分,参观约3小时），登鸣沙山，经画笔勾勒一般的鸣沙山而上，俯视山脚一弯清泉如月，芦苇轻荡，绿波微漾，五色沙在阳光下濯濯生异。千年来泉映月而无尘，沙泉共处的奇景成为旷古之谜。后返回市区入住酒店。【莫高窟游玩须知】1、团队参观必须严格按照莫高窟实际预约场次进行，当天同团游客参观莫高窟有可能会安排不同时间游览，同时也会根据莫高窟的预约情况导游会酌情调整行程，抵达敦煌后，会调整前后天数参观，敬请谅解，谢谢配合！2、2020年开始，对门票执行全员在线实名预约制度，均提前30日通过网络在线预约。3、公安民警、消防救援人员，学生证、军官证等特殊优惠对象，报名请提供享受特种优惠证件，没有提供的按正常门票预约流程走，未能享受的优惠损失有客人自行承担，请谅解！4、7月1日至8月31日所有班期包含莫高窟B类票（4个实体洞窟+免费参观敦煌石窟文物保护研究陈列中心等+往返莫高窟交通费，B类提前一个月预约）票价100元/成人，门票差价已在报价中减去，故无费用可退，请周知。5、7月1日至8月31日期间，如有游客想参观A类票，且在莫高窟官网有票的情况下，可现补138元/人差价，我社可代出票；或自行在官网预约莫高窟A类票，如您自行预约成功，本团现退100元/人门票费用，给您带来不便还望谅解。6、根据莫高窟网上购票制度，如若取消预订，莫高窟收取损失如下：如距预订参观时间15日以内（含15日）如退票收取票价的5%，距预订参观时间48小时以内（含48小时）24小时以上退票的，收取票价的10%的损失，距预订参观时间24小时以内（含24小时）退票的，收取票价的20%的损失，预订参观时间过期退票的，收取票价的50%的损失。7、关于退费：莫高窟官方规定以套票形式发售门票，如遇莫高窟特殊情况、自然灾害、当日接待量超过限额，无法参观，其中任何一项，不做拆解退费，以莫高窟官方公布为准，优惠票由当地导游现场退费。8、通知：因2-12岁儿童不含门票，根据莫高窟景区规定，4周岁以上（含4周岁）儿童进入景区需购买门票，莫高窟门票需要提前一个月在网上预约，我司为成人预约门票时，会帮儿童一起预约，抵达参观莫高窟时导游会根据儿童实际产生的费用现收，请将儿童门票费用现交给导游，感谢您的理解与配合温馨提示：鸣沙山景区游览方式有如下：1、从景区大门口可自费乘骆驼至鸣沙山景区主峰，抵达主峰后，下骆驼可自行拍照滑沙（滑沙需要单独付费），游玩后继续乘骆驼至月牙泉边附近的停驼场，你付费的骆驼到此就结束行程了，现在你可以参观月牙泉了，参观后可自费乘坐景区观光车或步行前往景区门口（步行时间约15分钟）2、可选择徒步或自费乘坐电瓶车至月牙泉附近。3、可自由选择景区自费项目沙漠摩托或越野车，进行沙漠冲浪，体验结束后，自行选择乘电瓶车或步行至月牙泉边。4、可在景区选择自费乘坐直升机或滑翔机在空中俯瞰鸣沙山月牙泉。5、也可全程徒步游览鸣沙山景区，但最好租一双鞋套，防止鸣沙山细软的沙子入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早餐：含；午餐：含；晚餐：含；住宿：敦煌</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敦煌-嘉峪关城楼-布隆吉雅丹地貌-丹霞口小镇(巴士)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嘉峪关途径【大地之子】（现代雕塑，戈壁艺术）巨型沙漠雕塑，以熟睡婴儿的造型寓意人与自然的和谐共生，在荒漠中格外震撼人心。后参观游览【嘉峪关城楼】是明长城最西端的关口，历史上曾被 称为河西咽喉，长城保存最完整的一处雄关，地势险要，所筑的城楼 由外城、内城、瓮城、罗城、城壕等多个部分组成，构成多道防线，形成了一个壁垒森严的军事防御工程，素有天下第一雄关的美称。之后乘车前往敦煌（嘉峪关/敦煌380公里，车程约4.5小时），路途中参观游览【布隆吉雅丹地貌】俗称"人头疙瘩"。这里褐色的地面上，矗立起高低参差的土丘峰林其间夹杂着无数高低错落，形态奇特的土岗土丘，或如人头疙瘩，狮身人面，又如云朵，如蘑茹，如金字塔，如烽燧排列，如千驼奔走，又似鬼域魔城。人行其间，恍入千年荒冢之中。之后参观游览【丹霞口旅游小镇】丹霞口旅游度假小镇是集特色美食、情景商业、民俗文化、会议会展、精品民宿、主题演艺等于一体的大型旅游度假特色小镇，不仅有小桥流水、户外马栈。之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早餐：含；午餐：含；晚餐：含；住宿：丹霞口小镇</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张掖-七彩丹霞-武威雷台汉墓-兰州(巴士)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游览【七彩丹霞国家地质公园】丹霞地质公园地处祁连山北麓，位于甘肃省张掖市临泽县城以南30公里，是中国丹霞地貌发育最大最好、地貌造型最丰富的地区之一，是中国彩色丹霞和窗棂状宫殿式丹霞的典型代表，具有很高的科考和旅游观赏价值。后参观【雷台汉墓】位于武威市雷台东路，因出土 了文物珍宝——中国旅游标志铜奔马而著名，来到雷台公园南门，首先看到的地方，因在一高约十米的土台上建有明朝中期建造的雷祖观而得名，雷台公园大体可分为两大部分，南面是武威市雷台汉文化博物馆，北面是雷台观和雷台汉墓。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早餐：含；午餐：含；晚餐：含；住宿：兰州</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兰州-昆明(飞机)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早餐后，乘车前往兰州中川机场或兰州火车站，根据自己的返程时间结束行程，我处安排送机，返回温馨的家！</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费用包含；1、交通：昆明往返机票2、用车：当地空调旅游车。3、住宿：全程11晚当地三钻舒适型标准酒店，西部酒店房间面积小，无法加床，无三人间，如产生单男单女请补房差或三人入住一间房（第三人不含酒店早餐）4、餐饮：全程11酒店早餐20正餐餐标为40元/餐5、导服：中文导游。费用不含；1、首道大门票及景区小交通费用和行程中注明需要另付的景区自费项目；2、单房差：全程入住相应指定酒店双人标间，西北酒店多无三人间，如无人拼房，需补单房差；3、因交通延阻、罢工、天气、飞机机器故障、航班取消或更改时间等不可抗力原因所引致的额外费用；4、酒店内洗衣、理发、电话、传真、收费电视、饮品、烟酒等个人消费；不含门票及区间车60岁以下：1691元/人60-69岁：1018.5元/人70岁以上：458元/人</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小朱</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唐川艳</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2026/8/31 14:50:48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