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李志钢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李志钢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ZLY11TR250828A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独库、伊犁双卧11天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1、林早元</w:t>
            </w:r>
          </w:p>
        </w:tc>
        <w:tc>
          <w:tcPr>
            <w:tcW w:w="2310" w:type="dxa"/>
            <w:vAlign w:val="center"/>
            <w:gridSpan w:val="2"/>
          </w:tcPr>
          <w:p>
            <w:pPr/>
            <w:r>
              <w:rPr>
                <w:lang w:val="zh-CN"/>
                <w:rFonts w:ascii="Times New Roman" w:hAnsi="Times New Roman" w:cs="Times New Roman"/>
                <w:sz w:val="20"/>
                <w:szCs w:val="20"/>
                <w:color w:val="000000"/>
              </w:rPr>
              <w:t>532101196209270058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2、梁春梅</w:t>
            </w:r>
          </w:p>
        </w:tc>
        <w:tc>
          <w:tcPr>
            <w:tcW w:w="2310" w:type="dxa"/>
            <w:vAlign w:val="center"/>
            <w:gridSpan w:val="2"/>
          </w:tcPr>
          <w:p>
            <w:pPr/>
            <w:r>
              <w:rPr>
                <w:lang w:val="zh-CN"/>
                <w:rFonts w:ascii="Times New Roman" w:hAnsi="Times New Roman" w:cs="Times New Roman"/>
                <w:sz w:val="20"/>
                <w:szCs w:val="20"/>
                <w:color w:val="000000"/>
              </w:rPr>
              <w:t>53210119750314062X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3、徐敏</w:t>
            </w:r>
          </w:p>
        </w:tc>
        <w:tc>
          <w:tcPr>
            <w:tcW w:w="2310" w:type="dxa"/>
            <w:vAlign w:val="center"/>
            <w:gridSpan w:val="2"/>
          </w:tcPr>
          <w:p>
            <w:pPr/>
            <w:r>
              <w:rPr>
                <w:lang w:val="zh-CN"/>
                <w:rFonts w:ascii="Times New Roman" w:hAnsi="Times New Roman" w:cs="Times New Roman"/>
                <w:sz w:val="20"/>
                <w:szCs w:val="20"/>
                <w:color w:val="000000"/>
              </w:rPr>
              <w:t>532101196302260049</w:t>
            </w:r>
          </w:p>
        </w:tc>
        <w:tc>
          <w:tcPr>
            <w:tcW w:w="2310" w:type="dxa"/>
            <w:vAlign w:val="center"/>
          </w:tcPr>
          <w:p>
            <w:pPr/>
            <w:r>
              <w:rPr>
                <w:lang w:val="zh-CN"/>
                <w:rFonts w:ascii="Times New Roman" w:hAnsi="Times New Roman" w:cs="Times New Roman"/>
                <w:sz w:val="20"/>
                <w:szCs w:val="20"/>
                <w:color w:val="000000"/>
              </w:rPr>
              <w:t xml:space="preserve">13619650630 </w:t>
            </w:r>
          </w:p>
        </w:tc>
        <w:tc>
          <w:tcPr>
            <w:tcW w:w="2310" w:type="dxa"/>
            <w:vAlign w:val="center"/>
          </w:tcPr>
          <w:p>
            <w:pPr/>
            <w:r>
              <w:rPr>
                <w:lang w:val="zh-CN"/>
                <w:rFonts w:ascii="Times New Roman" w:hAnsi="Times New Roman" w:cs="Times New Roman"/>
                <w:sz w:val="20"/>
                <w:szCs w:val="20"/>
                <w:color w:val="000000"/>
              </w:rPr>
              <w:t>4、吴志勇</w:t>
            </w:r>
          </w:p>
        </w:tc>
        <w:tc>
          <w:tcPr>
            <w:tcW w:w="2310" w:type="dxa"/>
            <w:vAlign w:val="center"/>
            <w:gridSpan w:val="2"/>
          </w:tcPr>
          <w:p>
            <w:pPr/>
            <w:r>
              <w:rPr>
                <w:lang w:val="zh-CN"/>
                <w:rFonts w:ascii="Times New Roman" w:hAnsi="Times New Roman" w:cs="Times New Roman"/>
                <w:sz w:val="20"/>
                <w:szCs w:val="20"/>
                <w:color w:val="000000"/>
              </w:rPr>
              <w:t>532101196302020010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6880.00</w:t>
            </w:r>
          </w:p>
        </w:tc>
        <w:tc>
          <w:tcPr>
            <w:tcW w:w="2310" w:type="dxa"/>
          </w:tcPr>
          <w:p>
            <w:pPr/>
            <w:r>
              <w:rPr>
                <w:lang w:val="zh-CN"/>
                <w:rFonts w:ascii="Times New Roman" w:hAnsi="Times New Roman" w:cs="Times New Roman"/>
                <w:sz w:val="20"/>
                <w:szCs w:val="20"/>
                <w:color w:val="000000"/>
              </w:rPr>
              <w:t>27520.00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总金额：贰万柒仟伍佰贰拾元整</w:t>
            </w:r>
          </w:p>
        </w:tc>
        <w:tc>
          <w:tcPr>
            <w:tcW w:w="2310" w:type="dxa"/>
            <w:textDirection w:val="right"/>
            <w:gridSpan w:val="3"/>
          </w:tcPr>
          <w:p>
            <w:pPr/>
            <w:r>
              <w:rPr>
                <w:lang w:val="zh-CN"/>
                <w:rFonts w:ascii="Times New Roman" w:hAnsi="Times New Roman" w:cs="Times New Roman"/>
                <w:b/>
                <w:color w:val="FF0000"/>
              </w:rPr>
              <w:t>27520.00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昆明  &gt; &gt; &gt; 乌鲁木齐(火车)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根据火车时间自行乘坐火车前往举世闻名的歌舞之乡、瓜果之乡、黄金玉石之邦的新疆维吾尔自治区首府 —【乌鲁木齐】 ，踏上举世闻名的古“丝绸之路”第一站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抵达乌鲁木齐—赛里木湖—赛里木湖临景区（约 580 公里 行车约 8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【赛里木湖】（含门票+区间车 ，游览时间约2小时） ，被称之为山脊梁上湖泊、新疆海拔最高、大西洋的 最后一滴眼泪的高山冷水湖 ， 国家5A级风景名胜区 ，湖面海拔2073米 ，周围长年有雪山相映 ，湖面宽20 米 ，长约30公里 ，静谧如画 ，湖畔草原丰茂 ，野花遍地 ，牛羊成群 ，牧帐炊烟；一年四季 ，景色各异 ，春 夏季节是摄影家的天堂 ，冬季被称之为 ：东方的贝加尔湖；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早餐：不含；午餐：含；晚餐：含；住宿：赛里木湖临景区</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赛里木湖—果子沟大桥—薰衣草庄园—阔克苏大峡谷—特克斯 （约 300 公里 ，行车约 4.5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【果子沟】（途经）果子沟是伊犁地区的天然门户，是一条北上赛里木湖，南下伊犁河谷的著名峡谷孔道，在古代，这里是我国通往中亚和欧洲的丝路新北道咽喉，被称为“铁关”，同时也因为它宜人的风景被誉 为“伊犁第一景”、“奇绝仙境”，古人赋诗赞其“山水之奇，媲于桂林，崖石之怪，胜于雁岩”，果子 沟全长28公里，地势险要，成吉思汗西征时凿山通道，曾架桥48座，可见路之险峻，清乾隆时改建为 42座，现在仍是乌伊公路干线的重要路段；【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景区内小面积供参观到9月）【阔克苏大峡谷】（含门票+区间车+游船，游览时间约3小时）“阔克苏大峡谷是喀拉峻景区的一部分，“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 峻至库尔德宁一线，后在2015年3月《中国国家地理》杂志中，喀拉峻·阔克苏大峡谷也被认定为中国最 美的人体草原；电视剧【海上牧云记】取景地特克斯八卦城】传说特克斯八卦城最早是由南宋道教全真七子之一的丘处机布置的。 当时长春真人丘处  机应成吉思汗的邀请前往西域 ，当他经过特克斯河谷时 ，被这里的山川形势所打动 ，于是就布置了这座八  卦城。八卦城呈放射状圆形 ，街道布局如神奇迷宫般 ，路路相通、街街相连； 同时特克斯是一座“天地交  而万物通 ，上下交而万物同”的城市；这是一座被上海吉尼斯总部授予“现今世界最大规模的八卦城”的  城市；这是一座历史上塞种、月氏、乌孙、回纥、突厥、蒙古、柯尔克孜、哈萨克、维吾尔、汉等22个民 族的人民都曾繁衍生息的城市。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早餐：含；午餐：不含；晚餐：含；住宿：特克斯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特克斯—库尔德宁·齐梦德·阿尤赛—那拉提镇（约 280KM   行车约 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【库尔德宁风景区】（含门票+区间车，游览时间约 3.5小时）以其壮美的自然景观和丰富的生物多样性而 闻名。这里拥有国内最大的原始云杉林，被誉为“ 中国最美十大森林”之首。景区内拥有1000余种高等植物、 146种陆栖脊椎动物和 196种昆虫 ，是一个生物多样性的天然基因库。库尔德宁的气候温和湿润 ， 四  季分明 ，草原森林丰茂 ，空气清新 ，阳光充足 ，形成了“红瓦绿树、林海蓝天”的独特景观。 1984年 ，该  地区被辟为自治区雪岭云杉自然保护区。2000年4月，库尔德宁风景区被确定为西天山国家级自然保护区。 库尔德宁在哈萨克语中意为“横沟” ，这里不仅自然景观壮美 ，还拥有丰富的民族风情和历史文化。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早餐：含；午餐：含；晚餐：不含；住宿：那拉提镇</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那拉提镇—那拉提·空中草原—独库公路中段—巴音布鲁克草原—巴音 布鲁克镇（约 100KM ，行程约 2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【那拉提·空中草原】（含门票+区间车 ，游览时间约4小时） ‘那拉提’蒙古语“太阳升起的地方” ，草 原风景秀丽多姿 ，云杉稠密 ， 山水如画 ，如茵草场铺展在起伏的山峦之上 ， 因而有“空中草场”之美誉，同时也被誉为“天然氧吧” ，这里是当地哈萨克族牧民的夏牧场 ，被称为“空中草原”是跟其海拔有关 ，   夏牧场的平均海拔为2200米 ，它是一个山间盆地 ，草肥水美 ， 6、 7、 8月份是夏牧场的黄金季节 ，夏季， 夏牧场鲜亮明快 ， 山清水秀 ， 由下向上 ， 随着地势的增高 ，气候、土壤、生物等自然条件都随之发生明显的变化，形成一条垂直景观带，是游客休闲避暑开怀游览的好去处；2005年4月那拉提草原被上海吉尼斯 世界总部授予“哈萨克人口最多的草原” ；2005年10月被中国国家地理杂志社评为全国六大最美草原之 一；【独库公路中段】独库开放期间（每年只在 6 月至 9 月底开通）换乘小车经独库中段前往巴音 ， 中段是 整个公路的精华路段之一 ，从那拉提到巴音布鲁克 ，展示了极为丰富的自然景观。这段路程以其多样的地 貌和壮丽的自然风光而闻名 ，是独库公路中最具代表性的部分；【巴音布鲁克草原】（含门票+区间车，游览时间约3小时）旧称：裕勒都斯草原、珠勒都斯草原、尤鲁都  斯草原 ， 因为主要位于新疆维吾尔自治区巴音郭楞蒙古自治州和静县西北的巴音布鲁克区境内 ，亦称巴音   布鲁克草原 ，“ 巴音布鲁克”蒙古语意为丰泉（丰富的泉水） ， 明朝和清朝前期 ，裕勒都斯河流域主要是   漠西蒙古里辉特部游牧带；清乾隆三十九年(1774年)安置了渥巴锡率领东归的土尔扈特蒙古部；这里是天  山山脉中段的高山间盆地 ， 四周为雪山环抱 ，海拔约 2500米 ，面积23835平方公里 ，草原地势平坦 ，水  草丰盛 ，是典型的禾草草甸草原 ，也是新疆最重要的畜牧业基地之一；这里盛产着焉耆天山马、 巴音布鲁   克大尾羊、 中国的美利奴羊和有“高原坦克”之称的牦牛 ，被誉为“草原四宝” ，每到仲夏季节 ，草原上   鲜花盛开 ，争奇斗艳 ，羊群像白云游荡 ，雪莲花般的座座蒙古包坐落其间；那里不但有雪山环抱下的世外   桃源 ，还有蜿蜒在草原上的开都河 ，素有“九曲十八弯”的美称 ，在中国四大名著之一的《西游记》 中 ，   开都河还有一个脍炙人口的名字——通天河，传说唐僧取经的“晒经岛”就在和静县境内，充满神秘气息； 全国闻名的巴音布鲁克天鹅湖保护区就位于该河上游的高山盆地中 ，栖息着中国最大野生天鹅种群的天鹅   保护区 ，河流的尾闾则是中国最大的内陆淡水湖--博斯腾湖； 同时还有藏传佛教圣地巴润寺 ， 1773年土尔扈特部从伏尔加河流域东归祖国后迁移回来的唯一的一座喇嘛庙 ，也是藏传佛教草原深处的朝圣之地 ，被   称为艾尔宾喇嘛庙 ，这座喇嘛庙是土尔扈特部东归历史事迹的重要文化代表 ，是藏传佛教四大教派之一的   格鲁派传教的寺院； 电影【东归英雄传】拍摄地； 电视剧【东归英雄】取景地； 电影【飞驰人生】取景地；备选方案（独库未开通期间）：那拉提—那拉提空中草原—218火烧桥绕行—巴音布鲁克镇 （约200KM行车约4.5小时 ）特别说明： 因独库公路通行受季节天气影响较大 ，即使开通期间遇下雨塌方也会临时封路 ，在独库公路封 闭管制期间 ，则按备选方案执行 ，费用同等。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 布鲁克镇</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巴音布鲁克镇—独库公路中段+北段—独山子大峡谷—独山子/奎屯/ 乌苏/和静（约 300KM 行车约 6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【独库公路】独库开放期间（每年只在 6 月至  9 月底开通） ，换乘小车经独库中段+北段前往奎屯 ，我 们沿独库公路北上 ，途经乔尔玛 ，缅怀为了修筑独库公路而献出生命的168名革命烈士；（此天不含餐沿 途餐厅较少 ，故请提前准备零食干粮和水 ，以备路上所需）。【独山子大峡谷】（含门票 ，游览时间约1小时）参观 ，谷壁近直立 ，沿谷到处是断崖 ，谷壁上的冲沟将  谷壁雕凿成石林状 ，奇特险峻。峡谷沟壑层叠 ，错落有致 ，雪山、峡谷、草场、流水相辉相映 ，天工巧夺， 神工鬼斧。奎屯河从谷底穿越而过 ，加上千万年的雨水冲刷 ，在沙砾石堆积的下切河谷悬壁上留下了密布  如织的冲沟 ，细沟 ，切沟 ，冲沟布满了长达几十公里的河谷槽壁 ，谷底平展开阔 ，河滩上砾石遍地 ，流水  时合时聚 ，谷地右侧的水渠顺谷延伸 ，构成一幅美丽画图 ，是摄影家从事创作的摇篮 ，也是新疆旅游胜地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早餐：含；午餐：不含；晚餐：不含；住宿：和静/独山子/奎屯/乌苏</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独山子/奎屯/乌苏/和静—野马古生态园—乌鲁木齐（约 250KM 行车 约 3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【野马古生态园】（赠送景点 ，不去不做退费）古生态园占地近300亩 ， 由六大景观构成 ，包括 ：远古硅 化木群、千年胡杨林、黑铁陨石群、汗血宝马基地、名俗风情园、野马美术馆 ，投资近亿元； 园内有上百 根硅化木，形成了蔚为壮观的硅化木林，其中最长一根达43米，是迄今为止国内最长的硅化木；园内还有 350根千年胡杨枯木形成的人工胡杨林；3000吨来自阿勒泰草原的黑铁陨石、1000吨风砺石、2000吨戈壁砂、雅丹石、戈壁玉以及普氏野马、汗血宝马、秃鹫、黄羊、马鹿、矮种马等各种野生动物和野生动物 标本。这里被世人公认为中国最大的汗血宝马和普氏野马展示基地； 中国最大的硅化木展示基地； 中国最 大的古胡杨展示基地； 中国最大的天外来客、黑铁陨石基地；相信古生态园之行 ，一定会让您赞叹不已； 游览结束后入住酒店 ，结束北疆深度之旅。特别提示 ：此天全天不含餐在即将返程之际 ，为各位贵宾自行品鉴新疆特色美食 ，留出充足时间；备选方案（独库未开通期间） ：和静—野马古生态园—乌鲁木齐（约450KM 行车约7小时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乌鲁木齐&gt;昆明(火车)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根据火车时间安排专车送客人前往乌鲁木齐火车站自行乘坐火车 ，结束愉快的新疆之行 ，返回 温馨的家。（乌鲁木齐火车票紧张，铺位不指定，随机出票）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4晚携程四钻（星）酒店+1晚赛里木湖临景区住宿+1晚特色民宿；具体酒店以当天确定酒店为主，此产品保拼房，不接受拼房者单房差自理；(不占床则不含早餐)2、用餐：全程酒店均含早，含6正餐（含特色餐，平均餐标40元/人/正）若客人不用，费用不退；3、用车：专享航空座椅2+1高端陆地头等舱，29人以内精品团（不足10人则根据人数调换车型，费用同等）；4、门票：包含行程中所列景点首道门票及区间车5、导游：优秀持证国语导游，10人以下（含10人）司机兼向导，负责驾驶、协助安排住宿、门票、简单介绍；6、购物：全程0购物0自费（注：景区内的各种小商店不计旅游行程中规定的购物点）；7、保险：旅行社责任险为法定险，强烈建议客人购买相关的个人保险；8、儿童：含当地旅游车费、正餐半餐、导游讲解服务费，其他自理；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李志钢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2025/8/14 16:48:40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