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柏毅</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柏毅</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胡朗</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18987959713</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ZLY10FJ250918A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9.18山东全景双飞10天</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2025-09-18</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2025-09-27</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7(7大)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1、潘全忠</w:t>
            </w:r>
          </w:p>
        </w:tc>
        <w:tc>
          <w:tcPr>
            <w:tcW w:w="2310" w:type="dxa"/>
            <w:vAlign w:val="center"/>
            <w:gridSpan w:val="2"/>
          </w:tcPr>
          <w:p>
            <w:pPr/>
            <w:r>
              <w:rPr>
                <w:lang w:val="zh-CN"/>
                <w:rFonts w:ascii="Times New Roman" w:hAnsi="Times New Roman" w:cs="Times New Roman"/>
                <w:sz w:val="20"/>
                <w:szCs w:val="20"/>
                <w:color w:val="000000"/>
              </w:rPr>
              <w:t>532224194805070010</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2、巫红英</w:t>
            </w:r>
          </w:p>
        </w:tc>
        <w:tc>
          <w:tcPr>
            <w:tcW w:w="2310" w:type="dxa"/>
            <w:vAlign w:val="center"/>
            <w:gridSpan w:val="2"/>
          </w:tcPr>
          <w:p>
            <w:pPr/>
            <w:r>
              <w:rPr>
                <w:lang w:val="zh-CN"/>
                <w:rFonts w:ascii="Times New Roman" w:hAnsi="Times New Roman" w:cs="Times New Roman"/>
                <w:sz w:val="20"/>
                <w:szCs w:val="20"/>
                <w:color w:val="000000"/>
              </w:rPr>
              <w:t>532224195210280021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3、张菊莲</w:t>
            </w:r>
          </w:p>
        </w:tc>
        <w:tc>
          <w:tcPr>
            <w:tcW w:w="2310" w:type="dxa"/>
            <w:vAlign w:val="center"/>
            <w:gridSpan w:val="2"/>
          </w:tcPr>
          <w:p>
            <w:pPr/>
            <w:r>
              <w:rPr>
                <w:lang w:val="zh-CN"/>
                <w:rFonts w:ascii="Times New Roman" w:hAnsi="Times New Roman" w:cs="Times New Roman"/>
                <w:sz w:val="20"/>
                <w:szCs w:val="20"/>
                <w:color w:val="000000"/>
              </w:rPr>
              <w:t>532224195501130023</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4、甘太泉</w:t>
            </w:r>
          </w:p>
        </w:tc>
        <w:tc>
          <w:tcPr>
            <w:tcW w:w="2310" w:type="dxa"/>
            <w:vAlign w:val="center"/>
            <w:gridSpan w:val="2"/>
          </w:tcPr>
          <w:p>
            <w:pPr/>
            <w:r>
              <w:rPr>
                <w:lang w:val="zh-CN"/>
                <w:rFonts w:ascii="Times New Roman" w:hAnsi="Times New Roman" w:cs="Times New Roman"/>
                <w:sz w:val="20"/>
                <w:szCs w:val="20"/>
                <w:color w:val="000000"/>
              </w:rPr>
              <w:t>532224195209170052</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5、朱明仙</w:t>
            </w:r>
          </w:p>
        </w:tc>
        <w:tc>
          <w:tcPr>
            <w:tcW w:w="2310" w:type="dxa"/>
            <w:vAlign w:val="center"/>
            <w:gridSpan w:val="2"/>
          </w:tcPr>
          <w:p>
            <w:pPr/>
            <w:r>
              <w:rPr>
                <w:lang w:val="zh-CN"/>
                <w:rFonts w:ascii="Times New Roman" w:hAnsi="Times New Roman" w:cs="Times New Roman"/>
                <w:sz w:val="20"/>
                <w:szCs w:val="20"/>
                <w:color w:val="000000"/>
              </w:rPr>
              <w:t>530200197307090626</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6、张华根</w:t>
            </w:r>
          </w:p>
        </w:tc>
        <w:tc>
          <w:tcPr>
            <w:tcW w:w="2310" w:type="dxa"/>
            <w:vAlign w:val="center"/>
            <w:gridSpan w:val="2"/>
          </w:tcPr>
          <w:p>
            <w:pPr/>
            <w:r>
              <w:rPr>
                <w:lang w:val="zh-CN"/>
                <w:rFonts w:ascii="Times New Roman" w:hAnsi="Times New Roman" w:cs="Times New Roman"/>
                <w:sz w:val="20"/>
                <w:szCs w:val="20"/>
                <w:color w:val="000000"/>
              </w:rPr>
              <w:t>532224195312150041</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7、罗小青</w:t>
            </w:r>
          </w:p>
        </w:tc>
        <w:tc>
          <w:tcPr>
            <w:tcW w:w="2310" w:type="dxa"/>
            <w:vAlign w:val="center"/>
            <w:gridSpan w:val="2"/>
          </w:tcPr>
          <w:p>
            <w:pPr/>
            <w:r>
              <w:rPr>
                <w:lang w:val="zh-CN"/>
                <w:rFonts w:ascii="Times New Roman" w:hAnsi="Times New Roman" w:cs="Times New Roman"/>
                <w:sz w:val="20"/>
                <w:szCs w:val="20"/>
                <w:color w:val="000000"/>
              </w:rPr>
              <w:t>452424195704111309</w:t>
            </w:r>
          </w:p>
        </w:tc>
        <w:tc>
          <w:tcPr>
            <w:tcW w:w="2310" w:type="dxa"/>
            <w:vAlign w:val="center"/>
          </w:tcPr>
          <w:p>
            <w:pP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7</w:t>
            </w:r>
          </w:p>
        </w:tc>
        <w:tc>
          <w:tcPr>
            <w:tcW w:w="2310" w:type="dxa"/>
          </w:tcPr>
          <w:p>
            <w:pPr/>
            <w:r>
              <w:rPr>
                <w:lang w:val="zh-CN"/>
                <w:rFonts w:ascii="Times New Roman" w:hAnsi="Times New Roman" w:cs="Times New Roman"/>
                <w:sz w:val="20"/>
                <w:szCs w:val="20"/>
                <w:color w:val="000000"/>
              </w:rPr>
              <w:t>4180.00</w:t>
            </w:r>
          </w:p>
        </w:tc>
        <w:tc>
          <w:tcPr>
            <w:tcW w:w="2310" w:type="dxa"/>
          </w:tcPr>
          <w:p>
            <w:pPr/>
            <w:r>
              <w:rPr>
                <w:lang w:val="zh-CN"/>
                <w:rFonts w:ascii="Times New Roman" w:hAnsi="Times New Roman" w:cs="Times New Roman"/>
                <w:sz w:val="20"/>
                <w:szCs w:val="20"/>
                <w:color w:val="000000"/>
              </w:rPr>
              <w:t>29260.00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总金额：贰万玖仟贰佰陆拾元整</w:t>
            </w:r>
          </w:p>
        </w:tc>
        <w:tc>
          <w:tcPr>
            <w:tcW w:w="2310" w:type="dxa"/>
            <w:textDirection w:val="right"/>
            <w:gridSpan w:val="3"/>
          </w:tcPr>
          <w:p>
            <w:pPr/>
            <w:r>
              <w:rPr>
                <w:lang w:val="zh-CN"/>
                <w:rFonts w:ascii="Times New Roman" w:hAnsi="Times New Roman" w:cs="Times New Roman"/>
                <w:b/>
                <w:color w:val="FF0000"/>
              </w:rPr>
              <w:t>29260.00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2025/09/18</w:t>
            </w:r>
          </w:p>
        </w:tc>
        <w:tc>
          <w:tcPr>
            <w:tcW w:w="2310" w:type="dxa"/>
            <w:gridSpan w:val="7"/>
          </w:tcPr>
          <w:p>
            <w:pPr/>
            <w:r>
              <w:rPr>
                <w:lang w:val="zh-CN"/>
                <w:rFonts w:ascii="Times New Roman" w:hAnsi="Times New Roman" w:cs="Times New Roman"/>
                <w:b/>
                <w:color w:val="000000"/>
              </w:rPr>
              <w:t>【昆明】→【济南】 (飞机)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指定时间地点乘飞机赴“泉城之都”--济南，抵达后入住酒店休息。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早餐：不含；午餐：不含；晚餐：不含；住宿：济南</w:t>
            </w:r>
          </w:p>
        </w:tc>
      </w:tr>
      <w:tr>
        <w:tc>
          <w:tcPr>
            <w:tcW w:w="2310" w:type="dxa"/>
            <w:vAlign w:val="center"/>
            <w:vMerge w:val="restart"/>
          </w:tcPr>
          <w:p>
            <w:pPr/>
            <w:r>
              <w:rPr>
                <w:lang w:val="zh-CN"/>
                <w:rFonts w:ascii="Times New Roman" w:hAnsi="Times New Roman" w:cs="Times New Roman"/>
                <w:sz w:val="20"/>
                <w:szCs w:val="20"/>
                <w:color w:val="000000"/>
              </w:rPr>
              <w:t>2025/09/19</w:t>
            </w:r>
          </w:p>
        </w:tc>
        <w:tc>
          <w:tcPr>
            <w:tcW w:w="2310" w:type="dxa"/>
            <w:gridSpan w:val="7"/>
          </w:tcPr>
          <w:p>
            <w:pPr/>
            <w:r>
              <w:rPr>
                <w:lang w:val="zh-CN"/>
                <w:rFonts w:ascii="Times New Roman" w:hAnsi="Times New Roman" w:cs="Times New Roman"/>
                <w:b/>
                <w:color w:val="000000"/>
              </w:rPr>
              <w:t>【济南】→【泰安】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趵突泉】趵突泉被誉为“天下第一泉”，它位于济南“七十二名泉”之首，至今已有2000多年的历史。它也曾多次出现在文学作品中，最有代表性的则是老舍笔下的《趵突泉》。而游客来此都是为了一睹趵突泉三股泉水喷发的壮丽景象。游览【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芙蓉街】是一条济南特色的老街。位于济南市中心，南临济南泉城路。芙蓉街以街中芙蓉泉而得名，街位于珍珠泉群之中，邻近历代两大府衙和贡院、府文庙及古城主干道。金、明、清时，向是文人墨客饮酒赋诗之地，清代诗人董芸曾寓居"芙蓉馆"。游览【泰山】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特别体验：平安系福：每人赠送1个专属泰山平安带，系于泰山极顶为家人许愿祈福！温馨提示：泰山索道单程100往返200，可根据自身情况自愿选择，60周岁以上半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早餐：含；午餐：含；晚餐：含；住宿：泰安</w:t>
            </w:r>
          </w:p>
        </w:tc>
      </w:tr>
      <w:tr>
        <w:tc>
          <w:tcPr>
            <w:tcW w:w="2310" w:type="dxa"/>
            <w:vAlign w:val="center"/>
            <w:vMerge w:val="restart"/>
          </w:tcPr>
          <w:p>
            <w:pPr/>
            <w:r>
              <w:rPr>
                <w:lang w:val="zh-CN"/>
                <w:rFonts w:ascii="Times New Roman" w:hAnsi="Times New Roman" w:cs="Times New Roman"/>
                <w:sz w:val="20"/>
                <w:szCs w:val="20"/>
                <w:color w:val="000000"/>
              </w:rPr>
              <w:t>2025/09/20</w:t>
            </w:r>
          </w:p>
        </w:tc>
        <w:tc>
          <w:tcPr>
            <w:tcW w:w="2310" w:type="dxa"/>
            <w:gridSpan w:val="7"/>
          </w:tcPr>
          <w:p>
            <w:pPr/>
            <w:r>
              <w:rPr>
                <w:lang w:val="zh-CN"/>
                <w:rFonts w:ascii="Times New Roman" w:hAnsi="Times New Roman" w:cs="Times New Roman"/>
                <w:b/>
                <w:color w:val="000000"/>
              </w:rPr>
              <w:t>【曲阜】→【台儿庄】(巴士)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孔庙】曲阜的孔庙是世界文化遗产。孔庙是国内最大的祭祀孔子的庙宇，它是在孔子的故居上改建而成的，是全世界数千座孔子庙的先河与范本。与北京故宫、承德避暑山庄齐名的中国三大古建筑群之一。游览【孔府】即衍圣公府，衍圣公是孔子嫡长子孙的世袭封号，即使孔府曾被大火一扫而光，也烧不断孔氏一代又一代的延续，烧不毁儒家思想的传承。游览【孔林】又称“至圣林”，或许因为是圣人的家族墓，有着圣人的遗韵，所以这里不曾让人感觉阴森恐怖，反而清静幽深，让人远离人世间的纷纷扰扰。游览【尼山圣境】尼山是中国先哲孔子的诞生地，是历代儒客朝拜之圣地，据《史记》记载：孔子父母"祷于尼丘而得孔子"，故尼山名扬遐迩。孔子因为尼山而得名仲尼，尼山因为孔子"集大成"而成为中国文化源头的重要标志之一。参观【孔子像】72米高的巨型孔子像，由著名雕塑家吴显林先生主持设计，唐代画家吴道子《先师孔子行教图》为参考，由南而北，要依次经过而立门、不惑台、天命大道、顺耳广场才能到达这尊孔子像下，让人肃然起敬。参观【大学堂】包含集贤厅、大学之道、七十二贤廊、仁厅、义厅、礼厅、智厅、信厅、礼乐堂等有序的、仪式化的文化空间。汇集了书法、彩绘、金银错、瓷版画、漆画以及铸造、木雕、生漆脱胎、泥塑等中国古代经典的艺术形式，用建筑的和艺术的语言讲述着中国人的审美选择与精神追求。“天下第一庄”的【台儿庄古城】今晚将入住【台儿庄古城内特色客栈】晚上独享古城美景【台儿庄古城夜景】台儿庄古城的夜景非常美，桨声灯影相映成趣，酒吧里的歌声、笑声、喧闹声嵌在古香古色的建筑里和静静流淌着的渠水旁，让你陶醉，让你恍惚，像到了另一个时空中。古运河畔，水中映着小城，夜色阑珊里，身心得到最惬意的放松.</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早餐：含；午餐：含；晚餐：含；住宿：古城内客栈</w:t>
            </w:r>
          </w:p>
        </w:tc>
      </w:tr>
      <w:tr>
        <w:tc>
          <w:tcPr>
            <w:tcW w:w="2310" w:type="dxa"/>
            <w:vAlign w:val="center"/>
            <w:vMerge w:val="restart"/>
          </w:tcPr>
          <w:p>
            <w:pPr/>
            <w:r>
              <w:rPr>
                <w:lang w:val="zh-CN"/>
                <w:rFonts w:ascii="Times New Roman" w:hAnsi="Times New Roman" w:cs="Times New Roman"/>
                <w:sz w:val="20"/>
                <w:szCs w:val="20"/>
                <w:color w:val="000000"/>
              </w:rPr>
              <w:t>2025/09/21</w:t>
            </w:r>
          </w:p>
        </w:tc>
        <w:tc>
          <w:tcPr>
            <w:tcW w:w="2310" w:type="dxa"/>
            <w:gridSpan w:val="7"/>
          </w:tcPr>
          <w:p>
            <w:pPr/>
            <w:r>
              <w:rPr>
                <w:lang w:val="zh-CN"/>
                <w:rFonts w:ascii="Times New Roman" w:hAnsi="Times New Roman" w:cs="Times New Roman"/>
                <w:b/>
                <w:color w:val="000000"/>
              </w:rPr>
              <w:t>【台儿庄】→【日照】(巴士)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前往【台儿庄大战纪念馆】全景画馆是我国唯一一家以抗战为题材的大型全景画馆，它是18边形的筒式建筑，高28米，直径43米，建筑面积3100平方米，《血战台儿庄》全景画馆包括绘画、地面塑型、灯光、音响和解说五个部分，将历史真实与艺术真实融为一体，生动地再现了中国军队在台儿庄以阵地战迎击日军，浴血奋战，直到取得胜利的历史过程。游览【森林公园】日照海滨国家森林公园是全国首批国家森林公园之一，现为国家AAAA级旅游景区。森林公园依山傍海，林海相依，总面积12000亩，森林覆盖率78%，园内动植物种类繁多，空气清新；在长达7公里的黄金海岸线上，浪缓滩阔，沙质细润，海水洁净，这里的沙滩被丁肇中先生誉为“夏威夷所不及。【万平口】“旅游来日照，必到万平口”，已成为游客共识。冬无严寒，夏无酷暑。万平口景区内的泻湖，是天然的避风港，有“万艘船只平安抵达口岸”之意，因此取名万平口。同时也寓意万事平安，一生平安。游览【奥林匹克小镇】是国家AAAA级景区--CCTV外景拍摄地，也是中国十大水上运动小镇之一。乘网红【小镇景交斯里兰卡海上小火车】乘车感受一旁沙滩大海浪漫无止境，一旁十里桃花春意盎然时！体验《千与千寻》真实浪漫场景！这段海上小火车一直沿着海岸线开，美景如约而至。沿海而行一路丛林秀水，欢歌笑语，尽览日照奥林匹克水上运动小镇全貌。体验体验国家非物质文化遗产项目—【龙舟赛海】(赛程规定航道一圈)游客可临时组建赛龙舟的小分队，龙舟在海面上你追我赶、奋勇争先，伴着铿锵有力的鼓点，节奏一致，展示出团结拼搏的竞技精神。体验中国唯一海上高尔夫【海上高尔夫球场】优雅挥杆，享受贵族GOLF，还有5次中奖机会；一杆进洞～奖励现金10000元！！体验【网红海上喊泉】又名“龙涎水”，在这里面朝大海，团队一起尽情的用歌唱或呐喊，一柱擎天，祈福一生平安。旅拍团队亲身参与编导航拍【天空之眼之日照航拍】鸟瞰日照海滨美景，留下您游玩的最好影视记忆，独家赠送每人一份MV视频刷爆朋友圈。</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2025/09/22</w:t>
            </w:r>
          </w:p>
        </w:tc>
        <w:tc>
          <w:tcPr>
            <w:tcW w:w="2310" w:type="dxa"/>
            <w:gridSpan w:val="7"/>
          </w:tcPr>
          <w:p>
            <w:pPr/>
            <w:r>
              <w:rPr>
                <w:lang w:val="zh-CN"/>
                <w:rFonts w:ascii="Times New Roman" w:hAnsi="Times New Roman" w:cs="Times New Roman"/>
                <w:b/>
                <w:color w:val="000000"/>
              </w:rPr>
              <w:t>【日照】→【青岛】  (巴士)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前往【中国人民解放军海军博物馆】（周一闭馆，如遇预约不上情况，改为17:00以后参观室外军舰，室内展馆关闭），中国海军博物馆由中国人民解放军海军创建，是中国唯一的一座全面反映中国海军发展的军事博物馆。游览【栈桥】栈桥是青岛百年历史的象征，是国家级风景名胜区，有“长虹远引”“飞阁回澜”的美景，这里可以临礁石、观沧海、看海鸥飞翔，一览前海美景。游览【天主教堂】外观本名圣弥厄尔教堂由德国设计师毕娄哈依据哥德式和罗马式建筑风格而设计，是建国前山东省最高的建筑，是中国唯一的祝圣教堂。游览【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委会帆船比赛在此举行；青岛因常年承接国内外重大帆船赛事，亦被称为“帆船之都”。游览【小麦岛】新晋网红打卡地—小麦岛是一处开放性的岛屿，是繁华都市中难得的休闲之地，素有“小垦丁”之美誉。在这里每一帧都像是闯进了电影里，大海、礁石、灯塔、红色栈道、草坪与孤独大树……岛不大，但风景绝美，三面环海，在这里分分钟拍出大片。</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早餐：含；午餐：含；晚餐：含；住宿：青岛</w:t>
            </w:r>
          </w:p>
        </w:tc>
      </w:tr>
      <w:tr>
        <w:tc>
          <w:tcPr>
            <w:tcW w:w="2310" w:type="dxa"/>
            <w:vAlign w:val="center"/>
            <w:vMerge w:val="restart"/>
          </w:tcPr>
          <w:p>
            <w:pPr/>
            <w:r>
              <w:rPr>
                <w:lang w:val="zh-CN"/>
                <w:rFonts w:ascii="Times New Roman" w:hAnsi="Times New Roman" w:cs="Times New Roman"/>
                <w:sz w:val="20"/>
                <w:szCs w:val="20"/>
                <w:color w:val="000000"/>
              </w:rPr>
              <w:t>2025/09/23</w:t>
            </w:r>
          </w:p>
        </w:tc>
        <w:tc>
          <w:tcPr>
            <w:tcW w:w="2310" w:type="dxa"/>
            <w:gridSpan w:val="7"/>
          </w:tcPr>
          <w:p>
            <w:pPr/>
            <w:r>
              <w:rPr>
                <w:lang w:val="zh-CN"/>
                <w:rFonts w:ascii="Times New Roman" w:hAnsi="Times New Roman" w:cs="Times New Roman"/>
                <w:b/>
                <w:color w:val="000000"/>
              </w:rPr>
              <w:t>【青岛】→【海阳】(巴士)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崂山仰口风景区】景区岚光霭气中群峰峭拔，争奇斗妍，翠竹青松里掩映着“海上宫殿”太平宫；关帝庙置身苍松山楸间，前临涧水、襟倚翠竹。景区中的上苑山、将军崮、中心崮、二仙山、钻子崮、觅天洞，以及仰口湾、雕龙矶、峰山岬角无不是山峰、海湾秀色尽现；游览【青山渔村】村子临海依山而建，红瓦粉墙的楼房和茅草石屋次第呼应，村中树木交错、藤蔓缠绕，房院内外青竹幽幽、红花烨烨。青山湾临海坡陡水深，渔船来往穿梭，鸥鸟嬉戏追逐。站在高处远眺，崂山头半岛蜿蜒入海，太清宫白云缭绕，云雾在奇峰怪石间变幻。俯瞰碧波荡漾的青山湾和掩映绿树中的青山村，恍若进入“山海仙境”。特别安排【沙滩音乐晚会】唱起动听的歌，跳起欢快的舞，体验【非遗大秧歌】融入山东小伙大妞的快乐之中！晚特别安排入住海边酒店海景房，站在阳台看海，躺在床上听涛。</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早餐：含；午餐：含；晚餐：含；住宿：海阳</w:t>
            </w:r>
          </w:p>
        </w:tc>
      </w:tr>
      <w:tr>
        <w:tc>
          <w:tcPr>
            <w:tcW w:w="2310" w:type="dxa"/>
            <w:vAlign w:val="center"/>
            <w:vMerge w:val="restart"/>
          </w:tcPr>
          <w:p>
            <w:pPr/>
            <w:r>
              <w:rPr>
                <w:lang w:val="zh-CN"/>
                <w:rFonts w:ascii="Times New Roman" w:hAnsi="Times New Roman" w:cs="Times New Roman"/>
                <w:sz w:val="20"/>
                <w:szCs w:val="20"/>
                <w:color w:val="000000"/>
              </w:rPr>
              <w:t>2025/09/24</w:t>
            </w:r>
          </w:p>
        </w:tc>
        <w:tc>
          <w:tcPr>
            <w:tcW w:w="2310" w:type="dxa"/>
            <w:gridSpan w:val="7"/>
          </w:tcPr>
          <w:p>
            <w:pPr/>
            <w:r>
              <w:rPr>
                <w:lang w:val="zh-CN"/>
                <w:rFonts w:ascii="Times New Roman" w:hAnsi="Times New Roman" w:cs="Times New Roman"/>
                <w:b/>
                <w:color w:val="000000"/>
              </w:rPr>
              <w:t>【海阳】→【威海】(巴士)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那香海钻石沙滩】，那香海与世界盛名的法国波尔多、意大利西西里、希腊爱情海等滨海度假圣地一样精彩。打卡【布鲁威斯号】感受它所散发出的独特魅力和神秘气息。在这里，你可以尽情地拍照留念，记录下这艘巨轮的壮美瞬间。前往【刘公岛】北洋海军成军地，甲午战争古战场，也是闻一多先生笔下的七子之一，人文景观丰富独特；也是全国第一个海上森林公园；素有“海上仙山”和“世外桃源”的美誉。【定远舰】北洋海军旗舰，被誉为世界第一铁甲舰。龙旗猎猎，身未动心先行，仿佛蓄势待发，将要进行那段未完的航程。游览【甲午战争博物馆陈列馆】创造性地将象征北洋海军舰船的主体建筑与巍然矗立的北洋海军将领塑像融为一体。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2025/09/25</w:t>
            </w:r>
          </w:p>
        </w:tc>
        <w:tc>
          <w:tcPr>
            <w:tcW w:w="2310" w:type="dxa"/>
            <w:gridSpan w:val="7"/>
          </w:tcPr>
          <w:p>
            <w:pPr/>
            <w:r>
              <w:rPr>
                <w:lang w:val="zh-CN"/>
                <w:rFonts w:ascii="Times New Roman" w:hAnsi="Times New Roman" w:cs="Times New Roman"/>
                <w:b/>
                <w:color w:val="000000"/>
              </w:rPr>
              <w:t>【烟台】→【蓬莱】(巴士)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打卡【4A幸福门】幸福门被誉为“威海之门”，成为威海的标志，代表着威海现代化的城市形象，登山幸福门高塔，感受威海海天一色魅力。打卡【火炬八街】据说是和日本镰仓最像的地方。彩色的房子，湛蓝的天空，路的尽头便是海，迎着太阳，吹着海风，分外美好。这类似日本动漫的街道莫名的有镜头感，随手一拍就是大片儿。游览【东炮台】清末时的海防重地。三面临海，岸线蜿蜒，风光旖旎，曾被世界旅游组织誉为“可与地中海沿岸相媲美的海域”。山光、海色、人文、遗址完美地结合在一起，增添了东炮台的无限魅力。游览【月亮湾】沙滩平缓，卵石晶莹，风轻境幽。自从有人在那道海堤上竖起一座不锈钢制的月亮老人雕塑，这里便成了青年人谈情说爱的必到之地。热恋中的人们在这里海誓山盟，请月老作证他们的爱情。成为了著名的海誓山盟之地。游览【蓬莱阁】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漫步广场，观赏大型石刻雕塑八仙过海图,倾听八仙过海的神话传说。</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早餐：含；午餐：含；晚餐：含；住宿：蓬莱</w:t>
            </w:r>
          </w:p>
        </w:tc>
      </w:tr>
      <w:tr>
        <w:tc>
          <w:tcPr>
            <w:tcW w:w="2310" w:type="dxa"/>
            <w:vAlign w:val="center"/>
            <w:vMerge w:val="restart"/>
          </w:tcPr>
          <w:p>
            <w:pPr/>
            <w:r>
              <w:rPr>
                <w:lang w:val="zh-CN"/>
                <w:rFonts w:ascii="Times New Roman" w:hAnsi="Times New Roman" w:cs="Times New Roman"/>
                <w:sz w:val="20"/>
                <w:szCs w:val="20"/>
                <w:color w:val="000000"/>
              </w:rPr>
              <w:t>2025/09/26</w:t>
            </w:r>
          </w:p>
        </w:tc>
        <w:tc>
          <w:tcPr>
            <w:tcW w:w="2310" w:type="dxa"/>
            <w:gridSpan w:val="7"/>
          </w:tcPr>
          <w:p>
            <w:pPr/>
            <w:r>
              <w:rPr>
                <w:lang w:val="zh-CN"/>
                <w:rFonts w:ascii="Times New Roman" w:hAnsi="Times New Roman" w:cs="Times New Roman"/>
                <w:b/>
                <w:color w:val="000000"/>
              </w:rPr>
              <w:t>【蓬莱】→【淄博】(巴士)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前往游览【潍坊风筝博物馆】（周一闭馆）全国第一座风筝专业性博物馆。馆内展现了从公元前5世纪“鲁班风筝”至今的中外各式风筝。建筑造型选取了潍坊龙头蜈蚣风筝的特点，设计风格在国内独树一帜，是“世界风筝之都”。游览【海岱楼】书香入海岱，潮起钟书阁。海岱楼位于淄博齐盛湖公园制高点，用汉代建筑风格，共十层，地上九层、地下一层。总建筑面积11642平方米，总高度67米，为齐盛湖公园的东西中心点和淄博新区城市核心轴线的北侧端点。游览【周村古城】周村古商城内分布着千佛寺庙群、三益堂印刷展馆、谦祥益、瑞蚨祥、历史文化展览馆、丝绸文化体验馆、英美烟草公司展览馆、状元府、票证博物馆、票号展览馆、杨家大院、大染坊、魁星阁庙群、淄博艺术博物馆等10多处具有较强的知识性和趣味性的景点。素有“旱码头”“金周村”“丝绸之乡”“天下第一村”的美誉，被中国古建筑保护委员会的专家誉为“中国活着的古商业建筑博物馆群”。晚餐：《淄博烧烤》“小葱、小饼、蘸酱”淄博烧烤三件套，必须体验一波！拿两串滋滋冒油的肉串，裹上蘸料，摊在小饼上，掌握住小饼，肉串攥紧，一拉签子，再放一段葱叶或者葱白，这么一卷，一口下去，妥妥的味蕾“爆炸”。解锁淄博的流量密码。淄博的好客之道从不是说说而已。</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早餐：含；午餐：含；晚餐：含；住宿：淄博/济南</w:t>
            </w:r>
          </w:p>
        </w:tc>
      </w:tr>
      <w:tr>
        <w:tc>
          <w:tcPr>
            <w:tcW w:w="2310" w:type="dxa"/>
            <w:vAlign w:val="center"/>
            <w:vMerge w:val="restart"/>
          </w:tcPr>
          <w:p>
            <w:pPr/>
            <w:r>
              <w:rPr>
                <w:lang w:val="zh-CN"/>
                <w:rFonts w:ascii="Times New Roman" w:hAnsi="Times New Roman" w:cs="Times New Roman"/>
                <w:sz w:val="20"/>
                <w:szCs w:val="20"/>
                <w:color w:val="000000"/>
              </w:rPr>
              <w:t>2025/09/27</w:t>
            </w:r>
          </w:p>
        </w:tc>
        <w:tc>
          <w:tcPr>
            <w:tcW w:w="2310" w:type="dxa"/>
            <w:gridSpan w:val="7"/>
          </w:tcPr>
          <w:p>
            <w:pPr/>
            <w:r>
              <w:rPr>
                <w:lang w:val="zh-CN"/>
                <w:rFonts w:ascii="Times New Roman" w:hAnsi="Times New Roman" w:cs="Times New Roman"/>
                <w:b/>
                <w:color w:val="000000"/>
              </w:rPr>
              <w:t>【济南】→【昆明】(飞机)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早餐后酒店出发，根据航班时间，乘车赴机场，返回温馨的家，结束愉快的山东之旅，希望此次旅程能为你留下一段愉快的回忆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全程入住携程3酒店+1晚海边酒店+1晚古城内客栈；（双标间，2人一间；不含自然单房差）全程9早16正餐；餐标30元/人；中式围桌，10人一桌，8菜1汤；用餐如自动放弃不吃不退。人数不足十人，菜品数量递减，餐标不变60周岁以上门票及必消景交已含；（尼山圣境门票、泰山往返景交、三孔景交、刘公岛船票、日照奥林匹克小火车）60周以下需补门票：趵突泉40泰山115三孔140台儿庄118崂山90刘公岛122蓬莱阁100=725/人泰山索道单程100往返200，可根据自身情况自愿选择，60周岁以上半价</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泰山索道单程100往返200，可根据自身情况自愿选择，60周岁以上半价</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柏毅</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胡朗</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10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2025/9/10 10:58:46</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