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1、陆洪春</w:t>
            </w:r>
          </w:p>
        </w:tc>
        <w:tc>
          <w:tcPr>
            <w:tcW w:w="2310" w:type="dxa"/>
            <w:vAlign w:val="center"/>
            <w:gridSpan w:val="2"/>
          </w:tcPr>
          <w:p>
            <w:pPr/>
            <w:r>
              <w:rPr>
                <w:lang w:val="zh-CN"/>
                <w:rFonts w:ascii="Times New Roman" w:hAnsi="Times New Roman" w:cs="Times New Roman"/>
                <w:sz w:val="20"/>
                <w:szCs w:val="20"/>
                <w:color w:val="000000"/>
              </w:rPr>
              <w:t>532627196804150027</w:t>
            </w:r>
          </w:p>
        </w:tc>
        <w:tc>
          <w:tcPr>
            <w:tcW w:w="2310" w:type="dxa"/>
            <w:vAlign w:val="center"/>
          </w:tcPr>
          <w:p>
            <w:pPr/>
            <w:r>
              <w:rPr>
                <w:lang w:val="zh-CN"/>
                <w:rFonts w:ascii="Times New Roman" w:hAnsi="Times New Roman" w:cs="Times New Roman"/>
                <w:sz w:val="20"/>
                <w:szCs w:val="20"/>
                <w:color w:val="000000"/>
              </w:rPr>
              <w:t>13108898045</w:t>
            </w:r>
          </w:p>
        </w:tc>
        <w:tc>
          <w:tcPr>
            <w:tcW w:w="2310" w:type="dxa"/>
            <w:vAlign w:val="center"/>
          </w:tcPr>
          <w:p>
            <w:pPr/>
            <w:r>
              <w:rPr>
                <w:lang w:val="zh-CN"/>
                <w:rFonts w:ascii="Times New Roman" w:hAnsi="Times New Roman" w:cs="Times New Roman"/>
                <w:sz w:val="20"/>
                <w:szCs w:val="20"/>
                <w:color w:val="000000"/>
              </w:rPr>
              <w:t>2、岳娴</w:t>
            </w:r>
          </w:p>
        </w:tc>
        <w:tc>
          <w:tcPr>
            <w:tcW w:w="2310" w:type="dxa"/>
            <w:vAlign w:val="center"/>
            <w:gridSpan w:val="2"/>
          </w:tcPr>
          <w:p>
            <w:pPr/>
            <w:r>
              <w:rPr>
                <w:lang w:val="zh-CN"/>
                <w:rFonts w:ascii="Times New Roman" w:hAnsi="Times New Roman" w:cs="Times New Roman"/>
                <w:sz w:val="20"/>
                <w:szCs w:val="20"/>
                <w:color w:val="000000"/>
              </w:rPr>
              <w:t>532627196902080026</w:t>
            </w:r>
          </w:p>
        </w:tc>
        <w:tc>
          <w:tcPr>
            <w:tcW w:w="2310" w:type="dxa"/>
            <w:vAlign w:val="center"/>
          </w:tcPr>
          <w:p>
            <w:pPr/>
            <w:r>
              <w:rPr>
                <w:lang w:val="zh-CN"/>
                <w:rFonts w:ascii="Times New Roman" w:hAnsi="Times New Roman" w:cs="Times New Roman"/>
                <w:sz w:val="20"/>
                <w:szCs w:val="20"/>
                <w:color w:val="000000"/>
              </w:rPr>
              <w:t>15008835975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6560.00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总金额：陆仟伍佰陆拾元整</w:t>
            </w:r>
          </w:p>
        </w:tc>
        <w:tc>
          <w:tcPr>
            <w:tcW w:w="2310" w:type="dxa"/>
            <w:textDirection w:val="right"/>
            <w:gridSpan w:val="3"/>
          </w:tcPr>
          <w:p>
            <w:pPr/>
            <w:r>
              <w:rPr>
                <w:lang w:val="zh-CN"/>
                <w:rFonts w:ascii="Times New Roman" w:hAnsi="Times New Roman" w:cs="Times New Roman"/>
                <w:b/>
                <w:color w:val="FF0000"/>
              </w:rPr>
              <w:t>6560.00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段琨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26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2024/9/26 17:37:07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