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弥勒栖桐旅游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聂枫</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13312660616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18987959713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ZLY19TR250908A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千回西域 ·超级南北疆双卧 19 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2025-09-08 Z372 昆明→乌鲁木齐 15:19-06:16+</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1、徐艳</w:t>
            </w:r>
          </w:p>
        </w:tc>
        <w:tc>
          <w:tcPr>
            <w:tcW w:w="2310" w:type="dxa"/>
            <w:vAlign w:val="center"/>
            <w:gridSpan w:val="2"/>
          </w:tcPr>
          <w:p>
            <w:pPr/>
            <w:r>
              <w:rPr>
                <w:lang w:val="zh-CN"/>
                <w:rFonts w:ascii="Times New Roman" w:hAnsi="Times New Roman" w:cs="Times New Roman"/>
                <w:sz w:val="20"/>
                <w:szCs w:val="20"/>
                <w:color w:val="000000"/>
              </w:rPr>
              <w:t>532526196412250027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2、徐青</w:t>
            </w:r>
          </w:p>
        </w:tc>
        <w:tc>
          <w:tcPr>
            <w:tcW w:w="2310" w:type="dxa"/>
            <w:vAlign w:val="center"/>
            <w:gridSpan w:val="2"/>
          </w:tcPr>
          <w:p>
            <w:pPr/>
            <w:r>
              <w:rPr>
                <w:lang w:val="zh-CN"/>
                <w:rFonts w:ascii="Times New Roman" w:hAnsi="Times New Roman" w:cs="Times New Roman"/>
                <w:sz w:val="20"/>
                <w:szCs w:val="20"/>
                <w:color w:val="000000"/>
              </w:rPr>
              <w:t>532526195705150025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3、吕玉芬</w:t>
            </w:r>
          </w:p>
        </w:tc>
        <w:tc>
          <w:tcPr>
            <w:tcW w:w="2310" w:type="dxa"/>
            <w:vAlign w:val="center"/>
            <w:gridSpan w:val="2"/>
          </w:tcPr>
          <w:p>
            <w:pPr/>
            <w:r>
              <w:rPr>
                <w:lang w:val="zh-CN"/>
                <w:rFonts w:ascii="Times New Roman" w:hAnsi="Times New Roman" w:cs="Times New Roman"/>
                <w:sz w:val="20"/>
                <w:szCs w:val="20"/>
                <w:color w:val="000000"/>
              </w:rPr>
              <w:t>532526196503011128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4、周洪祥</w:t>
            </w:r>
          </w:p>
        </w:tc>
        <w:tc>
          <w:tcPr>
            <w:tcW w:w="2310" w:type="dxa"/>
            <w:vAlign w:val="center"/>
            <w:gridSpan w:val="2"/>
          </w:tcPr>
          <w:p>
            <w:pPr/>
            <w:r>
              <w:rPr>
                <w:lang w:val="zh-CN"/>
                <w:rFonts w:ascii="Times New Roman" w:hAnsi="Times New Roman" w:cs="Times New Roman"/>
                <w:sz w:val="20"/>
                <w:szCs w:val="20"/>
                <w:color w:val="000000"/>
              </w:rPr>
              <w:t>532526196410110039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5、吕抗美</w:t>
            </w:r>
          </w:p>
        </w:tc>
        <w:tc>
          <w:tcPr>
            <w:tcW w:w="2310" w:type="dxa"/>
            <w:vAlign w:val="center"/>
            <w:gridSpan w:val="2"/>
          </w:tcPr>
          <w:p>
            <w:pPr/>
            <w:r>
              <w:rPr>
                <w:lang w:val="zh-CN"/>
                <w:rFonts w:ascii="Times New Roman" w:hAnsi="Times New Roman" w:cs="Times New Roman"/>
                <w:sz w:val="20"/>
                <w:szCs w:val="20"/>
                <w:color w:val="000000"/>
              </w:rPr>
              <w:t>532526195305051423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6、林云生</w:t>
            </w:r>
          </w:p>
        </w:tc>
        <w:tc>
          <w:tcPr>
            <w:tcW w:w="2310" w:type="dxa"/>
            <w:vAlign w:val="center"/>
            <w:gridSpan w:val="2"/>
          </w:tcPr>
          <w:p>
            <w:pPr/>
            <w:r>
              <w:rPr>
                <w:lang w:val="zh-CN"/>
                <w:rFonts w:ascii="Times New Roman" w:hAnsi="Times New Roman" w:cs="Times New Roman"/>
                <w:sz w:val="20"/>
                <w:szCs w:val="20"/>
                <w:color w:val="000000"/>
              </w:rPr>
              <w:t>532526195302191439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7、吕玉萍</w:t>
            </w:r>
          </w:p>
        </w:tc>
        <w:tc>
          <w:tcPr>
            <w:tcW w:w="2310" w:type="dxa"/>
            <w:vAlign w:val="center"/>
            <w:gridSpan w:val="2"/>
          </w:tcPr>
          <w:p>
            <w:pPr/>
            <w:r>
              <w:rPr>
                <w:lang w:val="zh-CN"/>
                <w:rFonts w:ascii="Times New Roman" w:hAnsi="Times New Roman" w:cs="Times New Roman"/>
                <w:sz w:val="20"/>
                <w:szCs w:val="20"/>
                <w:color w:val="000000"/>
              </w:rPr>
              <w:t>53252619590902002X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8、左开明</w:t>
            </w:r>
          </w:p>
        </w:tc>
        <w:tc>
          <w:tcPr>
            <w:tcW w:w="2310" w:type="dxa"/>
            <w:vAlign w:val="center"/>
            <w:gridSpan w:val="2"/>
          </w:tcPr>
          <w:p>
            <w:pPr/>
            <w:r>
              <w:rPr>
                <w:lang w:val="zh-CN"/>
                <w:rFonts w:ascii="Times New Roman" w:hAnsi="Times New Roman" w:cs="Times New Roman"/>
                <w:sz w:val="20"/>
                <w:szCs w:val="20"/>
                <w:color w:val="000000"/>
              </w:rPr>
              <w:t>532526195903180030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9、何保荣</w:t>
            </w:r>
          </w:p>
        </w:tc>
        <w:tc>
          <w:tcPr>
            <w:tcW w:w="2310" w:type="dxa"/>
            <w:vAlign w:val="center"/>
            <w:gridSpan w:val="2"/>
          </w:tcPr>
          <w:p>
            <w:pPr/>
            <w:r>
              <w:rPr>
                <w:lang w:val="zh-CN"/>
                <w:rFonts w:ascii="Times New Roman" w:hAnsi="Times New Roman" w:cs="Times New Roman"/>
                <w:sz w:val="20"/>
                <w:szCs w:val="20"/>
                <w:color w:val="000000"/>
              </w:rPr>
              <w:t>532526196002201118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10、吴红芝</w:t>
            </w:r>
          </w:p>
        </w:tc>
        <w:tc>
          <w:tcPr>
            <w:tcW w:w="2310" w:type="dxa"/>
            <w:vAlign w:val="center"/>
            <w:gridSpan w:val="2"/>
          </w:tcPr>
          <w:p>
            <w:pPr/>
            <w:r>
              <w:rPr>
                <w:lang w:val="zh-CN"/>
                <w:rFonts w:ascii="Times New Roman" w:hAnsi="Times New Roman" w:cs="Times New Roman"/>
                <w:sz w:val="20"/>
                <w:szCs w:val="20"/>
                <w:color w:val="000000"/>
              </w:rPr>
              <w:t>532526196404081163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11、刘春琼</w:t>
            </w:r>
          </w:p>
        </w:tc>
        <w:tc>
          <w:tcPr>
            <w:tcW w:w="2310" w:type="dxa"/>
            <w:vAlign w:val="center"/>
            <w:gridSpan w:val="2"/>
          </w:tcPr>
          <w:p>
            <w:pPr/>
            <w:r>
              <w:rPr>
                <w:lang w:val="zh-CN"/>
                <w:rFonts w:ascii="Times New Roman" w:hAnsi="Times New Roman" w:cs="Times New Roman"/>
                <w:sz w:val="20"/>
                <w:szCs w:val="20"/>
                <w:color w:val="000000"/>
              </w:rPr>
              <w:t>532526196709250028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12、罗永明</w:t>
            </w:r>
          </w:p>
        </w:tc>
        <w:tc>
          <w:tcPr>
            <w:tcW w:w="2310" w:type="dxa"/>
            <w:vAlign w:val="center"/>
            <w:gridSpan w:val="2"/>
          </w:tcPr>
          <w:p>
            <w:pPr/>
            <w:r>
              <w:rPr>
                <w:lang w:val="zh-CN"/>
                <w:rFonts w:ascii="Times New Roman" w:hAnsi="Times New Roman" w:cs="Times New Roman"/>
                <w:sz w:val="20"/>
                <w:szCs w:val="20"/>
                <w:color w:val="000000"/>
              </w:rPr>
              <w:t>532526196703241112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13、保新康</w:t>
            </w:r>
          </w:p>
        </w:tc>
        <w:tc>
          <w:tcPr>
            <w:tcW w:w="2310" w:type="dxa"/>
            <w:vAlign w:val="center"/>
            <w:gridSpan w:val="2"/>
          </w:tcPr>
          <w:p>
            <w:pPr/>
            <w:r>
              <w:rPr>
                <w:lang w:val="zh-CN"/>
                <w:rFonts w:ascii="Times New Roman" w:hAnsi="Times New Roman" w:cs="Times New Roman"/>
                <w:sz w:val="20"/>
                <w:szCs w:val="20"/>
                <w:color w:val="000000"/>
              </w:rPr>
              <w:t>532526195407150035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14、黄克明</w:t>
            </w:r>
          </w:p>
        </w:tc>
        <w:tc>
          <w:tcPr>
            <w:tcW w:w="2310" w:type="dxa"/>
            <w:vAlign w:val="center"/>
            <w:gridSpan w:val="2"/>
          </w:tcPr>
          <w:p>
            <w:pPr/>
            <w:r>
              <w:rPr>
                <w:lang w:val="zh-CN"/>
                <w:rFonts w:ascii="Times New Roman" w:hAnsi="Times New Roman" w:cs="Times New Roman"/>
                <w:sz w:val="20"/>
                <w:szCs w:val="20"/>
                <w:color w:val="000000"/>
              </w:rPr>
              <w:t>532526195807210017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15、田树生</w:t>
            </w:r>
          </w:p>
        </w:tc>
        <w:tc>
          <w:tcPr>
            <w:tcW w:w="2310" w:type="dxa"/>
            <w:vAlign w:val="center"/>
            <w:gridSpan w:val="2"/>
          </w:tcPr>
          <w:p>
            <w:pPr/>
            <w:r>
              <w:rPr>
                <w:lang w:val="zh-CN"/>
                <w:rFonts w:ascii="Times New Roman" w:hAnsi="Times New Roman" w:cs="Times New Roman"/>
                <w:sz w:val="20"/>
                <w:szCs w:val="20"/>
                <w:color w:val="000000"/>
              </w:rPr>
              <w:t>532526195503150035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16、韩伟忠</w:t>
            </w:r>
          </w:p>
        </w:tc>
        <w:tc>
          <w:tcPr>
            <w:tcW w:w="2310" w:type="dxa"/>
            <w:vAlign w:val="center"/>
            <w:gridSpan w:val="2"/>
          </w:tcPr>
          <w:p>
            <w:pPr/>
            <w:r>
              <w:rPr>
                <w:lang w:val="zh-CN"/>
                <w:rFonts w:ascii="Times New Roman" w:hAnsi="Times New Roman" w:cs="Times New Roman"/>
                <w:sz w:val="20"/>
                <w:szCs w:val="20"/>
                <w:color w:val="000000"/>
              </w:rPr>
              <w:t>532526196407240035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5880.00</w:t>
            </w:r>
          </w:p>
        </w:tc>
        <w:tc>
          <w:tcPr>
            <w:tcW w:w="2310" w:type="dxa"/>
          </w:tcPr>
          <w:p>
            <w:pPr/>
            <w:r>
              <w:rPr>
                <w:lang w:val="zh-CN"/>
                <w:rFonts w:ascii="Times New Roman" w:hAnsi="Times New Roman" w:cs="Times New Roman"/>
                <w:sz w:val="20"/>
                <w:szCs w:val="20"/>
                <w:color w:val="000000"/>
              </w:rPr>
              <w:t>94080.00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总金额：玖万肆仟零捌拾元整</w:t>
            </w:r>
          </w:p>
        </w:tc>
        <w:tc>
          <w:tcPr>
            <w:tcW w:w="2310" w:type="dxa"/>
            <w:textDirection w:val="right"/>
            <w:gridSpan w:val="3"/>
          </w:tcPr>
          <w:p>
            <w:pPr/>
            <w:r>
              <w:rPr>
                <w:lang w:val="zh-CN"/>
                <w:rFonts w:ascii="Times New Roman" w:hAnsi="Times New Roman" w:cs="Times New Roman"/>
                <w:b/>
                <w:color w:val="FF0000"/>
              </w:rPr>
              <w:t>94080.00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2025/09/08</w:t>
            </w:r>
          </w:p>
        </w:tc>
        <w:tc>
          <w:tcPr>
            <w:tcW w:w="2310" w:type="dxa"/>
            <w:gridSpan w:val="7"/>
          </w:tcPr>
          <w:p>
            <w:pPr/>
            <w:r>
              <w:rPr>
                <w:lang w:val="zh-CN"/>
                <w:rFonts w:ascii="Times New Roman" w:hAnsi="Times New Roman" w:cs="Times New Roman"/>
                <w:b/>
                <w:color w:val="000000"/>
              </w:rPr>
              <w:t>昆明前往新疆(火车)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指定时间乘火车出发前往“歌舞之乡·瓜果之乡·黄金玉石之邦”新疆维吾尔自治区，俗话说“没到过新疆之大不 知中国之大 ，没见过新疆之美不知中国之美” ，广博的新疆自治区占地面积有中国的六分之一。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2025/09/09</w:t>
            </w:r>
          </w:p>
        </w:tc>
        <w:tc>
          <w:tcPr>
            <w:tcW w:w="2310" w:type="dxa"/>
            <w:gridSpan w:val="7"/>
          </w:tcPr>
          <w:p>
            <w:pPr/>
            <w:r>
              <w:rPr>
                <w:lang w:val="zh-CN"/>
                <w:rFonts w:ascii="Times New Roman" w:hAnsi="Times New Roman" w:cs="Times New Roman"/>
                <w:b/>
                <w:color w:val="000000"/>
              </w:rPr>
              <w:t>火车途中(火车)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火车途中，一路欣赏美景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2025/09/10</w:t>
            </w:r>
          </w:p>
        </w:tc>
        <w:tc>
          <w:tcPr>
            <w:tcW w:w="2310" w:type="dxa"/>
            <w:gridSpan w:val="7"/>
          </w:tcPr>
          <w:p>
            <w:pPr/>
            <w:r>
              <w:rPr>
                <w:lang w:val="zh-CN"/>
                <w:rFonts w:ascii="Times New Roman" w:hAnsi="Times New Roman" w:cs="Times New Roman"/>
                <w:b/>
                <w:color w:val="000000"/>
              </w:rPr>
              <w:t>乌鲁木齐/吐鲁番-富蕴/可可托海镇(巴士)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早接团，后前往【可可托海】，可可托海不是海，是【额尔齐斯大峡谷】美丽的丛林，哈萨克语的意思为"  绿色的丛林"，蒙古语，意为 "蓝色的河湾 "。可可托海神钟山景区里面奇峰怪林无数，瀑布飞流直下三千尺，温泉 水滑洗凝脂 … …然而最不容错过的是那一个个与爱情有关的元素。进入景区，你会发现自己完全置身在白桦林的海 洋。 白桦林游览区素以“浪漫情人岛”著称，树林内小桥流水，树影婆娑，形态万千。夏天的白桦给人清新的凉   爽，如果是秋天，那就是醉人的金黄。途中车上观看【可可苏里湿地】，可可苏里湿地，又称野鸭湖，湖面面积   2677亩，平均水深2米，湖中有大小浮岛20多个，水生植物丰富。芦苇浮在水面上，随风漂游，风一场景一场，湖面景色随芦苇的变动而变化。每年夏秋季节，成千上万的野鸭、水鸡、红雁云集在此繁衍生息。野鸭湖既 有西湖的精致秀美，又有白洋淀的苇荡迷宫 ，一派“沙鸥翔集”、 “鱼翔浅底”的水乡泽国美景。【温馨提示】1.请务必携带身份证原件。2.新疆与内地时差 2 小时，新疆作息参考时间： 9:30-10:00 上班，14:00 午饭，20:00 晚饭。 3.新疆4.5.6.7.8.9.10 月份天气不稳定，气候有明显变化，温差较大；一旦遇到下雨天，温度骤降；出游之前请您提前 准备厚衣物（厚毛衣、羽绒服、冲锋衣） ，以防感冒。4.司机或导游可根据实际情况在不减少行程和不影响观赏性情况下对浏览顺序进行调整；请谅解！? 新疆是一个   少数民族众多的地区，尊重地方的民族习惯是我们每个人都必须要做到的。 因此要求您在新疆旅游途中一定要认 真听从导游的讲解，不但能够让您了解到和少数民族交流的注意事项，而且对于增长知识也有一个很大的帮助！ 游览过程中注意安全，保管好自己的随身财物。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早餐：含；午餐：含；晚餐：含；住宿：富蕴/可可托海镇</w:t>
            </w:r>
          </w:p>
        </w:tc>
      </w:tr>
      <w:tr>
        <w:tc>
          <w:tcPr>
            <w:tcW w:w="2310" w:type="dxa"/>
            <w:vAlign w:val="center"/>
            <w:vMerge w:val="restart"/>
          </w:tcPr>
          <w:p>
            <w:pPr/>
            <w:r>
              <w:rPr>
                <w:lang w:val="zh-CN"/>
                <w:rFonts w:ascii="Times New Roman" w:hAnsi="Times New Roman" w:cs="Times New Roman"/>
                <w:sz w:val="20"/>
                <w:szCs w:val="20"/>
                <w:color w:val="000000"/>
              </w:rPr>
              <w:t>2025/09/11</w:t>
            </w:r>
          </w:p>
        </w:tc>
        <w:tc>
          <w:tcPr>
            <w:tcW w:w="2310" w:type="dxa"/>
            <w:gridSpan w:val="7"/>
          </w:tcPr>
          <w:p>
            <w:pPr/>
            <w:r>
              <w:rPr>
                <w:lang w:val="zh-CN"/>
                <w:rFonts w:ascii="Times New Roman" w:hAnsi="Times New Roman" w:cs="Times New Roman"/>
                <w:b/>
                <w:color w:val="000000"/>
              </w:rPr>
              <w:t>富蕴/可可托海镇—喀纳斯—贾登峪(巴士)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早餐后乘车赴【喀纳斯湖】，沿途欣赏阿勒泰大草原、 卧龙湾、月亮湾、神仙湾、 鸭泽湖、原始白桦林等自 然风光，中午左右到达贾登峪，换乘景区区间车，喀纳斯湖具北国风光之雄浑，又具江南山水之娇秀，加之这里还有“云海佛光 ”、“变色湖 ”、“浮木长堤 ”、“湖怪”等胜景、绝景怎能不称是西域之佳景、北面是白雪皑 皑高耸如云的友谊峰。湖周重峦叠嶂，山林尤如画屏。不同的植物群落层次分明，色彩各异。 喀纳斯湖景色，冰  川、草原、 山林、湖泊、蓝天白云交相辉映，犹如置身于亦真亦幻的童话世界中。游玩结束后前往餐厅享用晚餐，晚餐后抵达酒店由导游安排办理入住手续，手续办理完成后游客入住酒店， 当天行程圆满结束！【温馨提示】? 美景很美，提前多给照相机充电，爱拍照的你，别忘了多拍些靓影，带上保温杯，记住多喝点热水。1》 旺季喀纳斯排队时间较长，请提前做好心理准备。2》景区内条件有限，消费价格较贵，当天用餐条件非常有限，请做好心理准备。3》 山上昼夜温差大，注意添衣物，即使夏天也应准备保暖外套。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w:t>
            </w:r>
          </w:p>
        </w:tc>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贾登峪-禾木-五彩滩-乌尔禾(巴士)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早起享用酒店早餐。餐后出发乘车前往中国十大最美乡村之一“禾木村 ”。 抵达【禾木景区】 抵达禾木后 首先享用午餐（用餐时间 1小时左右）置身禾木村，你一定会怀疑自己是否来到了传说中霍比特人的家园—— 夏尔国。点落于狭长山谷中的座座木屋炊烟袅袅，阳光愉快地洒在山坡金色的白桦林上，牛羊在山下悠闲自得 地埋头吃草，村旁流淌的蓝色禾木河水边。禾木村是一个被白桦树，雪山和禾木河流包围的美丽村庄，自然风 光原始，人迹罕至，在禾木河边摄影拍照，徒步沿栈道赴观景台观禾木村风貌，仿佛置身世外，享受被国内摄 影爱好者誉为“人间仙境 ”禾木。河从村边流淌而过，在树林中转了一个弯，继续向西奔流，汇入布尔津河。 游览结束后乘车前往【五彩滩景区】，五彩滩一河两岸，南北各异，是国家4A级景区，我国唯一的一条注入北 冰洋的河流――额尔齐斯河穿其而过 。 五彩滩惊艳的夕阳在等候着您的光临 。 额尔齐斯河静静地流淌，金秋时 节，河畔的白桦林镶金烁银，让人流连忘返。后游览结束后前往乌尔禾安排酒店入住休息。【温馨提示】? 当天坐车时间比较长，导游会介绍新疆当地的民风民俗，以及当地生活的习惯等等，大家可以认真倾听，多多 了解祖国的大西北，同时做好长途跋涉的乘车思想准备、 自备晕车贴和其他晕车药。 自备电影、歌曲以消遣。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早餐：含；午餐：含；晚餐：含；住宿：乌尔禾/和什托尔盖</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乌尔禾-魔鬼城-乌市/昌吉(巴士)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早起享用酒店早餐，餐后出发乘车前往参观【世界魔鬼城景区】 ：欣赏大自然鬼斧神工的杰作—雅丹地 貌，远眺风城，就像中世纪欧洲的一座大城堡 。 大大小小的城堡林立，高高低低参差错落 。 在起伏的山坡顶 上，布满血红、湛蓝、洁白、橙黄的各色石子，宛如魔女遗珠，更增添了几许神秘色彩，长期风蚀而形成的规 模宏大气势雄伟壮观风蚀奇特的自然景观。参观结束后前往克拉玛依白碱滩区享用午餐。后前往乌鲁木齐或昌 吉入住酒店！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乌市/昌吉-和田玉博物馆-天池-乌市/昌吉(巴士)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早餐后前往参观【和田玉博物馆】；乘车前往“人间瑶池 ”-【天山天池风景区】，传说这里是西王母和周 穆王瑶池相会，把酒言欢、互诉衷肠的爱情圣地。天山天池山天池风景区以天池为中心，包括天池上下4个完整 的山地垂直自然景观带，总面积380.69平方公里。天池湖面呈半月形，长3400米，最宽处约1500米，面积4.9 平方公里，最深处约105米。湖水清澈，晶莹如玉。 四周群山环抱，绿草如茵，野花似锦，有“天山明珠 ”盛 誉。挺拔、苍翠的云杉、塔松，漫山遍岭，遮天蔽日。游览结束后返回乌市安排酒店入住休息。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乌市/昌吉-和田玉加工厂-驼绒文化馆-精河/博乐(巴士)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早餐后前往参观【和田玉加工厂】；新疆的和田玉是中国最著名的玉石。古代上至帝王将相，下至黎民百 姓都热烈追捧。几千年来，人们崇玉、爱玉、 赏玉、玩玉、藏玉，人们对玉怀着一种特殊的情感，无论放在哪 里，都会散发出巨大的魅力，之后参观【大漠花语驼绒馆】 -以原生态、绿色环保、尊贵稀缺、高寒驼绒有限资 源研发高端系列驼绒产品为主 。驼绒制品具有轻 、 柔 、 暖的特点，因其柔软 、质轻 、稀有而被纤维专家称为 “天然蛋白质纤维”和“软黄金” 已经成为一种重要的出口物资，后前往精河/博乐安排酒店入住休息。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早餐：含；午餐：含；晚餐：含；住宿：精河/博乐</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精河/博乐-赛里木湖-薰衣草庄园-那拉提镇(巴士)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早起餐后出发前往奇沟飞桥果子沟 ，【果子沟大桥】 是一条北上赛里木湖，南下伊犁河谷的著名峡谷孔 道，它宜人的风景被誉为“伊犁第一景 ”、“ 奇绝仙境”，车览 [亚洲最大跨度的跨山斜拉桥]（ 由于交通原因 不能停车）。后乘车赴素有“花城、塞外江南 ”之称的伊宁市，沿途欣赏塞外风光，抵水草丰美，风景如画的 【赛里木湖】 它像一颗璀璨的蓝宝石高悬于西天山之间的断陷盆中，湖中群山环绕，天水相映，春夏季节，湖 畔广阔的草地上，牧草如茵、黄花遍地、牛羊如云、牧歌悠悠、毡房点点、构成一幅充满诗情画意的古丝路画卷，可以使人们充分领略回归自然的浪漫情怀与塞外独特的民族文化，赛湖长期以来还流传着湖怪 、湖心风 洞、旋涡与湖底磁场等传说，这给美丽的赛里木湖又蒙上了一层极富想象力的神秘面纱。途经伊犁特色产业【薰 衣草庄园】，游览因其浪漫的色彩和芬芳的花穗，素有“芳香药草之后”美誉的薰衣草，后入住酒店。温馨提示：1》薰衣草一般在六月上旬至八月上旬期间陆续开放 ，花期受当地气候和地势等影响会有差别，故每个团期看到花 开的情况有所不同，组织方无法提前预知盛花期，望大家以平常心看待。2》赛里木湖景区首道区间车为导游购买区间车票后团队大巴驶入景区内。3》赛里木湖景区内有游船等景区内娱乐体验项目，自愿自理。? 那拉提景区内有骑马/雪莲谷等景区内娱乐体验项目，自愿自理。1、草原附近气温较低，建议游玩前备好御寒衣物。2、进入景区之前，建议备好一些干粮和饮用水，以便补充体力。3、到那拉提旅游，必须要带上相机，那拉提的美景不断，随手按下快门，都是最美的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那拉提草原-独库公路-巴音布鲁克-巴音镇(巴士)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早餐后前往游览【那拉提大草原】 ,  沿途欣赏伊犁河谷风光，伊犁河，巩乃斯河风光，一路的高山草原风 光。那拉提草原被称为“空中草原”，是世界四大河谷草原之一。那拉提是准葛尔蒙古语，意为“最先见到太阳 的地方”,这里山峦起伏，绿草如茵，既有草原的辽阔，又有溪水的柔美；既有群山的的俊秀，又有松林如涛的气 势。她以特有的原始的自然风貌，向世人展示天山深处一道宛如立体画卷般的风景长廊。乘车穿越【独库公路中 段】，横亘崇山峻岭，穿越深山峡谷，连接了众多少数民族聚居区。 它的贯通，使得南北疆路程由原来的1000多 公里缩短了近一半，堪称是中国公路建设史上的一座丰碑。如画如屏层峦叠翠，一步一景麦田云杉，草原雪山、 敖包和牛羊群如此美景也赋予了这里“百里画廊 ”的美称。沿途植被茂密的天山、浩瀚的草原和美丽的游牧风 情，途中蓝天白云侧身为伴，一路前行，翻越天山腹地，一路上风景不停地变换，从森林草原，到高山草甸，再 到寸草不生；高天流云，群峰之雪常年不化,环形公路前后蜿蜒盘旋，如一条卧龙矗立在云中之巅换乘景区区间车 进入【巴音布鲁克草原景区】，是中国第二大草原，仅次于内蒙古额尔多斯草原。 巴音布鲁克蒙古语意为 "富饶 的泉水 "，草原地势平坦，水草丰盛，是典型的禾草草甸草原，也是新疆最重要的畜牧业基地之一。 巴音布鲁克 草原通天河共有大小13处泉水，7个湖泊，以及还有20条河流。参观我国唯一以天鹅为保护对象的【天鹅湖保护 区】，是天鹅、灰鹤等珍贵飞禽的生息乐园，蜿蜒在草原上的开都河更素有【九曲十八弯】 的美称，在我国四大 名著之一的《西游记》 中，开都河还有一个脍炙人口的名字——通天河，传说唐僧取经的“晒经岛”就在和静县 境内，充满神秘气息，后前往入住酒店！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早餐：含；午餐：含；晚餐：含；住宿：巴音布鲁克</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巴音-独库公路-天山神秘大峡谷-库车(巴士)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早餐后乘车沿独【独库公路南段】 一路向南，翻越险要的天山山脉，你会发现刚才还是“火焰地带 ”，此刻 已是山清水秀，在天山深处有两个高山湖泊如两块翡翠镶嵌在雪峰环绕的半山腰，被称为南天池的【大小龙池】 大、小龙池以湖光山色、秀丽山水享有盛名。夏季来临，细雨绵绵，山坡上青翠的云衫绿草，在雪峰的辉映下层层叠叠，使人心旷神怡，流连忘返。后乘车前往游览当今中国十大最美峡谷的【天山神秘大峡谷】，庞大的红色 山体群形成于距今 1.4亿年前的中生代的白垩纪,经亿万年的风剥雨蚀,洪流冲刷,远看如诗如画，近瞧若人似物，神 韵万端。尤以谷口处的三座山体(乃头山、丽人山、佛面山)最为壮观。特别在夕阳斜射,朝霞映山,极目远眺,色艳红 天。大有不是火焰山,胜似火焰山之奇感，是古丝绸之路黄金旅游线上新增的一颗璀璨的明珠。是各位摄影爱好者 必到的打卡地，也是研究地质构造、地壳运动绝好的题材。后前往库车酒店入住！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早餐：含；午餐：含；晚餐：含；住宿：库车</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库车-库车王府-克孜尔千佛洞-阿拉尔(巴士)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早餐后，乘车前往游览【库车王府】 “库车王府”位于新疆库车市城区，是1759年清朝乾隆皇帝为表彰当地 维吾尔族首领鄂对协助平定大小和卓叛乱的功绩，专门派遣内地汉族工匠建造而成。库车王府建筑面积50000多平 方米，融维吾尔族建筑风格、 中原建筑风格、俄罗斯建筑风格为一体。踏进库车王府，就能听见近200年历史的回 声，缅怀到王公家族史的风范，体验到他们维护祖国统一，加强民族团结品德气节的主流。后前往【克孜尔千佛 洞】 是最西的大型石窟群，始凿于公元三世纪（东汉末年） ，五－七世纪为最盛期，至八世纪末逐渐停凿，延续 时间之长在世界各国也是绝无仅有的。克孜尔石窟和敦煌莫高窟同享中国“ 四大石窟 ”之美誉。但是克孜尔石窟 是全国开凿最早的石窟 ， 始建于公元3世纪，比莫高窟还要早。现存已编号的洞窟236个，其中窟形完整的135 个，尚有壁画的80个，壁画总面积1万余平方米。其风格独特之窟形和壁画，均可代表龟兹文化的水平，有很高 的研究价值。 1961年列为全国第一批重点文物保护单位。</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早餐：含；午餐：含；晚餐：含；住宿：阿拉尔</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阿拉尔-359 旅-和田夜市-和田(巴士)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早餐后，乘车前往游览为纪念“西北边陲戈壁荒滩上，发扬南泥湾精神，开荒大生产”【359旅屯垦纪念馆】（周一闭馆）博物馆占地11000平方米，设八个展厅；其展陈内容以英雄的红二方面军和八路军一二O师三五 九旅革命史、新疆生产建设兵团的建设发展史为主线，通过实物、 图片、声光电多媒体、浮雕、雕塑场景等形式，详实、全面地展陈了这支部队从井冈山红军时期，到南泥湾边生产、边战斗，再到解放大西北，部队官兵在 天山南北就地转业，开荒大生产，以南泥湾精神为动力，推进各项事业蓬勃发展，四个文明建设取得辉煌成就，农业现代化建设领跑全国农业发展等方面内容；既给人回归历史的震撼，又让人了解兵团艰苦奋斗留下深刻感受，不禁对兵团精神肃然起敬。乘车穿越荒无人烟的沙漠公路（因穿行沙漠公路行程时间较长，建议客人安排一   些零食/面包/牛奶等） -被称为“死亡之海”的塔克拉玛干沙漠是中国最大的沙漠、世界第十大沙漠，同时也是仅  次于阿拉伯半岛的鲁 卜哈利沙漠的世界第二大流动沙漠，被评为“最神秘、最具有诱惑力”的【塔克拉玛干大沙    漠】（塔克拉玛干沙漠被评为中国五个最美的沙漠之一）途中安排拍照点/观光点，客人下车自由活动，可自由深  入塔克拉玛干大沙漠腹地，抵达之后可自行前往【和田夜市】（市区内） ，玉泉河公园南端的和田夜市人群熙熙   攘攘，红柳羊肉串、酸奶粽子、玫瑰烤馕、炭火烤鸽子 … …各种勾人味蕾的特色小吃令人目不暇接。和田夜市由来已 久，晚上逛夜市已成为和田人的一种生活方式。夜市里的大多数商户都是和田特色美食的传承人，这里最能体现和田人的热情好客，彰显和田的人文性格，夜市已经成为文化和旅游的一张名片，是来和田必到的“打卡地”。入住 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早餐：含；午餐：含；晚餐：含；住宿：和田</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和田-叶尔羌汉宫-喀什古城-喀什(巴士)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早餐后沿玉龙喀什河一路前行，玉龙喀什河是新疆和田地区的重要河流，发源于昆仑山慕士塔格峰西侧冰川，全长513公里，因盛产和田玉（ 白玉）闻名于世，维语意为'白玉之河'。当前因生态保护政策禁止采挖玉石， 政府加强河道管理。【叶尔羌汉宫】 一座历经沧桑却依旧风采不减的古建筑静静矗立，它就是闻名遐迩的莎车叶 尔羌汗王宫。这座王宫不仅是中国西部边陲的历史见证，更是丝绸之路文化交流的重要标志，承载着深厚的历史  文化价值。王宫的建筑风格独特，融合了汉族、蒙古族以及中亚民族的建筑艺术，展现出多元文化的交融与碰撞。 宫殿的屋顶采用了典型的汉族歇山顶，而墙壁上的装饰则带有明显的伊斯兰艺术痕迹，这种独特的混搭风格  在中国古代建筑中极为罕见。 除了王宫本身，周边的阿曼尼莎汗纪念陵也是不容错过的景点。这座陵墓与清真寺  相连，陵高22米，庄严肃穆，是伊斯兰建筑艺术的杰出代表。 陵墓内部的“木卡姆”十二套曲名镶嵌在墙上，不  仅是对音乐艺术的纪念，也是对历史人物的缅怀。乘车前往喀什市区唯一保存的古老民居集中地【喀什古城】 ， 观看开城仪式。 “不到喀什就不算到了新疆，不到古城就不算到喀什” 喀什老城是中国唯一的以伊斯兰文化为特  色的  迷宫式城市街区，历经2000多年的风霜雨雪，被誉为“最后的西域，活着的化石”。走进老城，就穿越了 时光。丝路驼铃声声，赋予生土墙间每一寸凸起与凹陷历史的轻喃，多元文化涂抹出艳丽的门框色彩与雕花墙围。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喀什-白沙湖-喀拉库勒湖-喀什(巴士)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早餐后，乘车从喀什出发沿着 314国道可欣赏维吾尔族农家田园风光，市井文化，进入峡谷时，可看到山体  一派暗红而后逐渐变得苍黑的盖孜大峡谷，随后可远眺到有南疆火焰山之称的奥依塔克红山。驱车前往白沙山白   沙河，途中过盖孜检查站，后抵达今日第一个目的地，素有流沙河之称的【白沙河】及鬼斧神工的布伦口【白沙   山】，可在此摄影拍照赏景。行进在海拔三千多米的盖孜峡谷中。 喀喇昆仑公路像一条玉带，沿着盖孜河在盖孜   峡谷中穿梭着，眼前的景色又变成了绵延不绝的荒山雪岭。正被荒山雪岭弄得有点审美疲劳的我们，被前面突然   出现的美丽湖泊给重新打起了精神。这个湖泊就是【布伦口白沙湖】体表面附着的白沙经过了数万年风化，在帕   米尔高原洁静的阳光下，闪耀着金属般的光泽。湖水在天空、 白沙和雪山的综合作用下呈现出一种别样的蓝，深   邃的蓝，非常迷人。乘车前往帕米尔高原上的【卡拉库里湖】位于“冰川之父”慕士塔格峰脚下，随着天气变幻   莫测，湖水时而碧绿柔美，时而黑褐深沉，时而银灰、湛蓝、橘红      倒映着帕米尔的地标之一——慕士塔格峰、雄伟中又带着一丝柔美静朗。 面对纯净雪山，平静心绪，回归自然，随后乘车返回酒店入住。温馨提示：? 卡湖海拔较高，请缓慢行走，以防高原反应；卡湖天气冷，请带上厚外套御寒；赴卡湖需要办边防通行证，请 带好身份证；喀什地区日落时间较晚，请注意调整作息时间；? 游览结束后前往喀什酒店入住休息。（本天高原活动心脑血管疾病及身体不佳者谨慎前往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喀什-香妃园-送火车(巴士)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早餐后去参观【香妃园】这是一座典型的伊斯兰古建筑群，也是伊斯兰教圣裔的陵墓，更有着香妃的故事，传  说埋葬在这里的霍加后裔中，有一个叫伊帕尔汗的维吾尔族女子，是乾隆皇帝的爱妃，由于她身上有一股常有的沙 枣花香，人们便称她为“香妃”。香妃死后由其嫂苏德香将其尸体护送回喀什，并葬于阿帕霍加墓内，因而人们又 将这座陵墓称做“香妃墓”。现在的香妃园将文化与娱乐相结合，是到喀什必打卡之地，相信一定会带给你别样的 记忆。而后车辆前往和田。，抵达后参观【艾提尕尔清真寺】（外观） ，这里原是征服中亚的阿拉伯大将屈底波? 伊本?穆斯林留下的伊斯兰教传教士的墓地。明正统(1436～1449)年间喀什噶尔统治者沙克色孜?米尔扎死后葬于  此，其后裔建造了一座小清真寺，即艾提尕尔清真寺之前身。这座规模宏大的伊斯兰教建筑物始建于 1442年 ，  后另经重修扩建，始具今貌。艾提尕尔，意为节日礼拜场所。为中国最大的清真寺。艾提尕大清真寺不仅是新疆   地区宗教活动的重要场所，在古代还是传播伊斯兰文化和培养人才的重要学府，天山南北以致中亚地区许多教阶   较高的伊斯兰教神职人员和学者都从这里毕业，其他还有更多的有影响的诗人、文学家、史学家和翻译家早年也   在此受过严格的学业培训。建国后，寺内一些德高望重的爱国守法宗教人士，还被各界人士推举为人民代表和政   协委员，同时又埋头著书立说，为新疆的历史与宗教研究贡献力量。也是重点文物保护单位。不仅是喀什重要的   宗教地，也是著名的观光景点。观看开始古城开城仪式，自由活动。指定时间送火车，前往吐鲁番，夜宿火车。</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吐鲁番-坎儿井-火焰山-送火车(巴士)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早接火车，参观“ 中国古代三大工程之一 ”【坎儿井景区】 。坎儿井重现了交河驿千年历史脉络，主要观光景 点包括交河驿景观城、观光烽燧、交河驿展陈艺术馆、马帮、坎儿井源地上地下观光区、世界大晾房等。坎尔井在 高山雪水潜流处，寻其水源，在一定间隔打一深浅不等的竖井，然后再依地势高下在井底修通暗渠，沟通各井，引 水下流。地下管道的出水口与地面管道相连接，把地下水引至地面灌溉桑田。正是因为有了这独特的地下水利工 程——坎儿井，把地下水引向地面，灌溉盆地数十万亩良田，才孕育了吐鲁番各族人民，是使火洲变绿洲的功臣。 乘车前往游览西游记中记载的“百里火山，寸草不生”的火焰山地质公园【大火焰山景区】古称“赤石山 ”，位于 吐鲁番盆地的北缘，古丝绸之路北道。 呈东西走向。火焰山，维吾尔语称“克孜勒塔格”，意为“红山”，唐人以其炎热曾名为“火山”。        山长 100多公里，最宽处达 10公里，海拔500米左右，主峰海拔831.7米。火焰 山上童山秃岭，寸草不生，飞鸟匿踪。每当盛夏，红日当空，赤褐色的山体在烈日照射下，砂岩灼灼闪光，炽热气 流翻滚上升，就像烈焰熊熊，火舌撩天，故又名火焰山。之后前往闻名遐尔的“清凉世界 ”【葡萄庄园】（赠送景 点不去不退）这里有浓郁的维吾尔族风情，夏季葡萄架连成片。后前往当地的维吾尔族人家做客，欣赏原生态的维 吾尔族农民的舞蹈，体验维吾尔族人家民风民俗。根据乘客返程时间送团，回到温馨的家。撇下一路风尘和辛劳， 带着对新疆的美好印象，指定时间送火车，乘火车返回温馨的家，茶余饭后给亲朋好友讲述在那遥远的地方发生的 愉快、难忘、物有所值的南北疆之旅的故事。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火车途中(火车)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火车途中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抵达昆明(巴士)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火车途中返回昆明，结束愉快新疆之旅。温馨提示? 请提前整理好随身携带的行李、贵重物品及有效身份证件原件，以免遗漏，耽误乘车。? 针对我们的精心安排的行程和导游的服务，请留下宝贵的意见，签好意见单，不受理因虚假填写或不填意见书 而产生的后续争议和投诉，感谢各位贵宾对我们工作的支持和理解，我们会不断的完善自我，提供更优质的服 务，如果您对这次新疆之行感到满意，请介绍给您的亲朋好友，我们热烈欢迎您再次来到大美新疆，希望您一路 平安，最真挚的祝福送给您！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餐：14早30正（含升级10顿特色餐、烤全羊、九碗三行子、图瓦人家宴、特色大盘鸡、冷水鱼宴、火洲第一鸡、罗布烤鱼、喀什特色鸽子汤、手抓饭、特色拌面）（酒店早餐，正餐为团餐，餐标40元/人）当地饮食与游客饮食习惯差异较大，餐饮条件有限，尽请游客谅解并可自备些零食（方便面、榨菜等）因团队选择为团队桌餐，如游客不用餐，餐费一律不退，请见谅住：全程13晚舒适型商务酒店双标间；边疆地区宾馆条件有限，酒店设施与地区有较大差距，所以请勿以城市人心态衡量（产生单房请补单房差或房内加床）。</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聂枫</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2025/9/7 10:33:22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