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云南洲楞严旅行社有限公司团队/散客确认件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文山老山旅游/赵陆艳</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赵陆艳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15187627212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秦世莲</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18082748547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ZLY10FJ260910A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河北全景双飞10日游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2026-09-10</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12(12大)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1、尹晋云</w:t>
            </w:r>
          </w:p>
        </w:tc>
        <w:tc>
          <w:tcPr>
            <w:tcW w:w="2310" w:type="dxa"/>
            <w:vAlign w:val="center"/>
            <w:gridSpan w:val="2"/>
          </w:tcPr>
          <w:p>
            <w:pPr/>
            <w:r>
              <w:rPr>
                <w:lang w:val="zh-CN"/>
                <w:rFonts w:ascii="Times New Roman" w:hAnsi="Times New Roman" w:cs="Times New Roman"/>
                <w:sz w:val="20"/>
                <w:szCs w:val="20"/>
                <w:color w:val="000000"/>
              </w:rPr>
              <w:t>532621195612060083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2、谢坚</w:t>
            </w:r>
          </w:p>
        </w:tc>
        <w:tc>
          <w:tcPr>
            <w:tcW w:w="2310" w:type="dxa"/>
            <w:vAlign w:val="center"/>
            <w:gridSpan w:val="2"/>
          </w:tcPr>
          <w:p>
            <w:pPr/>
            <w:r>
              <w:rPr>
                <w:lang w:val="zh-CN"/>
                <w:rFonts w:ascii="Times New Roman" w:hAnsi="Times New Roman" w:cs="Times New Roman"/>
                <w:sz w:val="20"/>
                <w:szCs w:val="20"/>
                <w:color w:val="000000"/>
              </w:rPr>
              <w:t>532621195702010039</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3、陈艳萍</w:t>
            </w:r>
          </w:p>
        </w:tc>
        <w:tc>
          <w:tcPr>
            <w:tcW w:w="2310" w:type="dxa"/>
            <w:vAlign w:val="center"/>
            <w:gridSpan w:val="2"/>
          </w:tcPr>
          <w:p>
            <w:pPr/>
            <w:r>
              <w:rPr>
                <w:lang w:val="zh-CN"/>
                <w:rFonts w:ascii="Times New Roman" w:hAnsi="Times New Roman" w:cs="Times New Roman"/>
                <w:sz w:val="20"/>
                <w:szCs w:val="20"/>
                <w:color w:val="000000"/>
              </w:rPr>
              <w:t>532621196308166021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4、李林周</w:t>
            </w:r>
          </w:p>
        </w:tc>
        <w:tc>
          <w:tcPr>
            <w:tcW w:w="2310" w:type="dxa"/>
            <w:vAlign w:val="center"/>
            <w:gridSpan w:val="2"/>
          </w:tcPr>
          <w:p>
            <w:pPr/>
            <w:r>
              <w:rPr>
                <w:lang w:val="zh-CN"/>
                <w:rFonts w:ascii="Times New Roman" w:hAnsi="Times New Roman" w:cs="Times New Roman"/>
                <w:sz w:val="20"/>
                <w:szCs w:val="20"/>
                <w:color w:val="000000"/>
              </w:rPr>
              <w:t>532621196103240013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5、黄丽英</w:t>
            </w:r>
          </w:p>
        </w:tc>
        <w:tc>
          <w:tcPr>
            <w:tcW w:w="2310" w:type="dxa"/>
            <w:vAlign w:val="center"/>
            <w:gridSpan w:val="2"/>
          </w:tcPr>
          <w:p>
            <w:pPr/>
            <w:r>
              <w:rPr>
                <w:lang w:val="zh-CN"/>
                <w:rFonts w:ascii="Times New Roman" w:hAnsi="Times New Roman" w:cs="Times New Roman"/>
                <w:sz w:val="20"/>
                <w:szCs w:val="20"/>
                <w:color w:val="000000"/>
              </w:rPr>
              <w:t>532621196004150063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6、杨竣午</w:t>
            </w:r>
          </w:p>
        </w:tc>
        <w:tc>
          <w:tcPr>
            <w:tcW w:w="2310" w:type="dxa"/>
            <w:vAlign w:val="center"/>
            <w:gridSpan w:val="2"/>
          </w:tcPr>
          <w:p>
            <w:pPr/>
            <w:r>
              <w:rPr>
                <w:lang w:val="zh-CN"/>
                <w:rFonts w:ascii="Times New Roman" w:hAnsi="Times New Roman" w:cs="Times New Roman"/>
                <w:sz w:val="20"/>
                <w:szCs w:val="20"/>
                <w:color w:val="000000"/>
              </w:rPr>
              <w:t>532621195701090057</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7、周林</w:t>
            </w:r>
          </w:p>
        </w:tc>
        <w:tc>
          <w:tcPr>
            <w:tcW w:w="2310" w:type="dxa"/>
            <w:vAlign w:val="center"/>
            <w:gridSpan w:val="2"/>
          </w:tcPr>
          <w:p>
            <w:pPr/>
            <w:r>
              <w:rPr>
                <w:lang w:val="zh-CN"/>
                <w:rFonts w:ascii="Times New Roman" w:hAnsi="Times New Roman" w:cs="Times New Roman"/>
                <w:sz w:val="20"/>
                <w:szCs w:val="20"/>
                <w:color w:val="000000"/>
              </w:rPr>
              <w:t>532621196512150035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8、李桂玲</w:t>
            </w:r>
          </w:p>
        </w:tc>
        <w:tc>
          <w:tcPr>
            <w:tcW w:w="2310" w:type="dxa"/>
            <w:vAlign w:val="center"/>
            <w:gridSpan w:val="2"/>
          </w:tcPr>
          <w:p>
            <w:pPr/>
            <w:r>
              <w:rPr>
                <w:lang w:val="zh-CN"/>
                <w:rFonts w:ascii="Times New Roman" w:hAnsi="Times New Roman" w:cs="Times New Roman"/>
                <w:sz w:val="20"/>
                <w:szCs w:val="20"/>
                <w:color w:val="000000"/>
              </w:rPr>
              <w:t>532621196405120025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9、杨艳华</w:t>
            </w:r>
          </w:p>
        </w:tc>
        <w:tc>
          <w:tcPr>
            <w:tcW w:w="2310" w:type="dxa"/>
            <w:vAlign w:val="center"/>
            <w:gridSpan w:val="2"/>
          </w:tcPr>
          <w:p>
            <w:pPr/>
            <w:r>
              <w:rPr>
                <w:lang w:val="zh-CN"/>
                <w:rFonts w:ascii="Times New Roman" w:hAnsi="Times New Roman" w:cs="Times New Roman"/>
                <w:sz w:val="20"/>
                <w:szCs w:val="20"/>
                <w:color w:val="000000"/>
              </w:rPr>
              <w:t>532524196810213640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10、黄丽梅</w:t>
            </w:r>
          </w:p>
        </w:tc>
        <w:tc>
          <w:tcPr>
            <w:tcW w:w="2310" w:type="dxa"/>
            <w:vAlign w:val="center"/>
            <w:gridSpan w:val="2"/>
          </w:tcPr>
          <w:p>
            <w:pPr/>
            <w:r>
              <w:rPr>
                <w:lang w:val="zh-CN"/>
                <w:rFonts w:ascii="Times New Roman" w:hAnsi="Times New Roman" w:cs="Times New Roman"/>
                <w:sz w:val="20"/>
                <w:szCs w:val="20"/>
                <w:color w:val="000000"/>
              </w:rPr>
              <w:t>530123197211274067</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11、赵陆艳</w:t>
            </w:r>
          </w:p>
        </w:tc>
        <w:tc>
          <w:tcPr>
            <w:tcW w:w="2310" w:type="dxa"/>
            <w:vAlign w:val="center"/>
            <w:gridSpan w:val="2"/>
          </w:tcPr>
          <w:p>
            <w:pPr/>
            <w:r>
              <w:rPr>
                <w:lang w:val="zh-CN"/>
                <w:rFonts w:ascii="Times New Roman" w:hAnsi="Times New Roman" w:cs="Times New Roman"/>
                <w:sz w:val="20"/>
                <w:szCs w:val="20"/>
                <w:color w:val="000000"/>
              </w:rPr>
              <w:t>532621198709010545</w:t>
            </w:r>
          </w:p>
        </w:tc>
        <w:tc>
          <w:tcPr>
            <w:tcW w:w="2310" w:type="dxa"/>
            <w:vAlign w:val="center"/>
          </w:tcPr>
          <w:p>
            <w:pPr/>
            <w:r>
              <w:rPr>
                <w:lang w:val="zh-CN"/>
                <w:rFonts w:ascii="Times New Roman" w:hAnsi="Times New Roman" w:cs="Times New Roman"/>
                <w:sz w:val="20"/>
                <w:szCs w:val="20"/>
                <w:color w:val="000000"/>
              </w:rPr>
              <w:t>15187627212</w:t>
            </w:r>
          </w:p>
        </w:tc>
        <w:tc>
          <w:tcPr>
            <w:tcW w:w="2310" w:type="dxa"/>
            <w:vAlign w:val="center"/>
          </w:tcPr>
          <w:p>
            <w:pPr/>
            <w:r>
              <w:rPr>
                <w:lang w:val="zh-CN"/>
                <w:rFonts w:ascii="Times New Roman" w:hAnsi="Times New Roman" w:cs="Times New Roman"/>
                <w:sz w:val="20"/>
                <w:szCs w:val="20"/>
                <w:color w:val="000000"/>
              </w:rPr>
              <w:t>12、黄玉芬</w:t>
            </w:r>
          </w:p>
        </w:tc>
        <w:tc>
          <w:tcPr>
            <w:tcW w:w="2310" w:type="dxa"/>
            <w:vAlign w:val="center"/>
            <w:gridSpan w:val="2"/>
          </w:tcPr>
          <w:p>
            <w:pPr/>
            <w:r>
              <w:rPr>
                <w:lang w:val="zh-CN"/>
                <w:rFonts w:ascii="Times New Roman" w:hAnsi="Times New Roman" w:cs="Times New Roman"/>
                <w:sz w:val="20"/>
                <w:szCs w:val="20"/>
                <w:color w:val="000000"/>
              </w:rPr>
              <w:t>532621196107170067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11</w:t>
            </w:r>
          </w:p>
        </w:tc>
        <w:tc>
          <w:tcPr>
            <w:tcW w:w="2310" w:type="dxa"/>
          </w:tcPr>
          <w:p>
            <w:pPr/>
            <w:r>
              <w:rPr>
                <w:lang w:val="zh-CN"/>
                <w:rFonts w:ascii="Times New Roman" w:hAnsi="Times New Roman" w:cs="Times New Roman"/>
                <w:sz w:val="20"/>
                <w:szCs w:val="20"/>
                <w:color w:val="000000"/>
              </w:rPr>
              <w:t>3480.00</w:t>
            </w:r>
          </w:p>
        </w:tc>
        <w:tc>
          <w:tcPr>
            <w:tcW w:w="2310" w:type="dxa"/>
          </w:tcPr>
          <w:p>
            <w:pPr/>
            <w:r>
              <w:rPr>
                <w:lang w:val="zh-CN"/>
                <w:rFonts w:ascii="Times New Roman" w:hAnsi="Times New Roman" w:cs="Times New Roman"/>
                <w:sz w:val="20"/>
                <w:szCs w:val="20"/>
                <w:color w:val="000000"/>
              </w:rPr>
              <w:t>38280.00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加一人机票差</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150.00</w:t>
            </w:r>
          </w:p>
        </w:tc>
        <w:tc>
          <w:tcPr>
            <w:tcW w:w="2310" w:type="dxa"/>
          </w:tcPr>
          <w:p>
            <w:pPr/>
            <w:r>
              <w:rPr>
                <w:lang w:val="zh-CN"/>
                <w:rFonts w:ascii="Times New Roman" w:hAnsi="Times New Roman" w:cs="Times New Roman"/>
                <w:sz w:val="20"/>
                <w:szCs w:val="20"/>
                <w:color w:val="000000"/>
              </w:rPr>
              <w:t>150.00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0.00</w:t>
            </w:r>
          </w:p>
        </w:tc>
        <w:tc>
          <w:tcPr>
            <w:tcW w:w="2310" w:type="dxa"/>
          </w:tcPr>
          <w:p>
            <w:pPr/>
            <w:r>
              <w:rPr>
                <w:lang w:val="zh-CN"/>
                <w:rFonts w:ascii="Times New Roman" w:hAnsi="Times New Roman" w:cs="Times New Roman"/>
                <w:sz w:val="20"/>
                <w:szCs w:val="20"/>
                <w:color w:val="000000"/>
              </w:rPr>
              <w:t>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总金额：叁万捌仟肆佰叁拾元整</w:t>
            </w:r>
          </w:p>
        </w:tc>
        <w:tc>
          <w:tcPr>
            <w:tcW w:w="2310" w:type="dxa"/>
            <w:textDirection w:val="right"/>
            <w:gridSpan w:val="3"/>
          </w:tcPr>
          <w:p>
            <w:pPr/>
            <w:r>
              <w:rPr>
                <w:lang w:val="zh-CN"/>
                <w:rFonts w:ascii="Times New Roman" w:hAnsi="Times New Roman" w:cs="Times New Roman"/>
                <w:b/>
                <w:color w:val="FF0000"/>
              </w:rPr>
              <w:t>38430.00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昆明-石家庄  (飞机)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根据航班时间前往石家庄河北省会，素有新中国“开国第一城”之称--石家庄。抵达后千万酒店入住。如航班时间较早，则前往石家庄正定，夜游【正定古城】（游览约1小时）正定是国家历史文化名城，全国文明县城，有1600多年悠久的历史，名胜古迹众多，文化积淀深厚，享有“古建艺术宝库”的美称。历史上曾与保定、北京并称为“北方三雄镇”，南城门还嵌有“三关雄镇”的石额，正定也是三国名将赵子龙的家乡。（如航班在19:00后抵达石家庄，则直接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早餐：不含；午餐：不含；晚餐：不含；住宿：石家庄</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正定-西柏坡85公里1.5小时 ，正定-冉庄110公里约1.5小时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素有“没有围墙的革命历史博物馆”“新中国从这里走来”之称的石家庄西柏坡。参观全国五大革命圣地之一、国家5A级旅游区、国家爱国主义教育基地、电影《开国大典》、《大决战》等的外景地-【西柏坡】（游览时间约1小时），【每周一闭馆】登新西柏坡纪念塔，鸟瞰西柏坡新貌、中共中央旧址大院（主要包括五大书记旧居、中央军委作战室、七届二中全会会址、九月会议会址及防空洞等，期间可在七届二中全国旧址前入党宣誓或重温誓词）；瞻仰名为“赶考”的五大书记铜像广场塑像并全景留念、游览西柏坡纪念馆（观赏三大战役作战半景图身临其境、全国最大的表现领袖人物最多的群体雕像。 中餐升级石家庄正定地区特色美食【正定古城八大碗】游览首批全国重点文物保护单位，中国十大名寺之一，国家4A级景区【隆兴寺】，寺内有六处文物堪称全国之最，造型独特的宋代建筑摩尼殿，被古建筑大师梁思成先生誉为世界古建筑的孤例；被鲁迅先生誉为“东方美神”的五彩悬塑观音；我国早期最大的转轮藏；被推崇为“隋碑第一”、“楷书之祖”的龙藏寺碑；举高21.3米的铜铸千手千眼观音菩萨是我国古代最高的铜铸大佛；设计巧妙，富于变化，做工精细堪称我国一绝的铜铸千佛墩。“沧州狮子定州塔，正定菩萨赵州桥”隆兴寺也被誉为“华北四宝之一” 前往“京畿重镇”、 “首都南大门”--保定，抵达后参观人民的伟大创作【冉庄地道战遗址】（游览时间约1小时），体现了冀中平原村落风貌，它是电影《地道战》的拍摄地，完整保存着的高房工事、牲口槽、地平面、锅台石头堡、面柜、地下兵工厂等，各种作战工事，使人如置身于战争岁月。纪念馆详细介绍在抗日战争和解放战争时期，冉庄人民如何开展地道战战，神出鬼没的打击日本鬼子的平原战争实例。观大钟、1400年历史的老槐树，钻地道，感受地道战的神奇，体会烽火硝烟的战争场面。</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早餐：含；午餐：含；晚餐：含；住宿：保定</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涞源-雄安170公里约2.5小时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世界地质公园、国家AAAAA级景区【白石山国家地质公园】因山多白色大理石而得名，体现着雄、奇、险的山岳景观。山体高大，有“三顶、六台、九谷、八十一峰”，主脊线长7000余米，最高峰海拔2096米，是华北平原西北隆起之龙首。白石山奇峰林立，绝壁横陈，险壑纵布，到处直上直下如刀削斧劈，少曲线，多棱角。尤其是峰林地貌带，高差大，密度大，是我国惟一的大理岩峰林景观，被誉为“太行之首”为北方山岳景区中的绝品。中餐后，前往雄安新区，走进雄安蓝图，预见雄安未来实地见证继深圳之后又一奇迹的创建，见证雄安发展，了解雄安建设及规划布局，领会雄安新区对于疏解北京非首都功能和对京津冀协同发展所起到的作用及深远的战略意义。游览【雄安新区白洋淀】，这里古有“北地西湖”之称，今有“华北明珠”之誉，诗赞“北国江南”，歌咏“鱼米之乡”，是帝王巡幸之所，“荷花淀派”诞生之地，雁翎神兵扬威之处，“小兵张嘎”造就之域。欣赏白洋淀沟壕纵横、苇淀相连的奇特地形地貌，春有蒹葭青青，夏开碧荷嫣红，秋风临池戏水，冬雪装点娇容，这里浅水环抱，民居散落，保留了大自然原生态的淳朴，游客置身其间，可尽情享受白洋淀的水阔，天蓝，风清，景奇之美。乘坐游船，穿梭在如诗如画的村落间。晚餐升级白洋淀地区特色美食【淀乡渔家宴】打卡雄安地标【雄安之眼】（外观），雄安新区有三座城：地下一座城、地上一座城、“云”上一座城。为建设数字城市、打造“云上雄安”提供重要支撑的中枢“大脑””，被称为“洞见未来·雄安之眼”。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早餐：含；午餐：含；晚餐：含；住宿：雄安</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雄安-承德330公里约4小时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游承德，皇帝的选择！”早餐后，乘车前往“紫塞明珠·魅力承德”，抵达后游览世界文化遗产、国家5A级景区【避暑山庄】（游览时间约3小时）避暑山庄原名热河行宫，建造历时89年，是我国现存最大的皇家园林、世界文化遗产、中国四大园林之一，占地564万平方米，相当于颐和园的两倍，北海公园的八倍。“自有山川开北极，天然美景胜西湖”曾是中国清朝皇帝的夏宫和处理政务的场所。避暑山庄与颐和园、拙政园、留园并称全国四大名园。旧版电视剧《还珠格格》第一、二部，均在承德避暑山庄取景拍摄，山庄里的烟雨楼就是“漱芳斋”。  午餐升级承德特色美食，【承德行宫御宴】，体验塞外皇家美食后前往【网红打卡·鼎盛元宝街】在华灯霓彩中，品味王朝记忆，同“皇家贵胄”一起游街，自导自演一出穿越剧；或坐在街边摊铺，大快朵颐，悠闲小憩，感受承德最地道的市井烟火气！</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早餐：含；午餐：含；晚餐：含；住宿：承德</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承德-秦皇岛230公里约3小时(巴士)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参观【小布达拉宫景区】(游览时间2小时)，先游览仿西藏拉萨的布达拉宫而建造，集藏、汉艺术之大成的【普陀宗乘之庙】，规模宏大、金碧辉煌，素有“小布达拉宫”之称。后游览仿西藏日喀则扎什伦布寺修建的—【须弥福寿之庙】，是乾隆皇帝七旬寿辰，六世班禅远道来承德朝拜，供其居住和讲经，亦称“班禅行宫”；其主殿顶金龙腾飞，每条一吨多重，是建筑史上的一大奇迹。乘车前往素有“长城滨海画廊·四季休闲天堂”之称的秦皇岛市，抵达后游览国家AAAA级景区秦皇求仙入海处【游览时间约1.5小时】秦皇岛的标志性景点，真正了解“秦皇岛”名字的由来。观秦始皇当年求仙拜海的壮丽景观，游览战国风情园、周游列国，回到那两年前风烟滚滚的战国时代。参观气势恢弘的求仙殿，在回味历史、倾听求仙故事——寻求长生不老的同时，让您领略秦始皇的雄才大略。乘车前往“夏都”北戴河海滨，它与美国戴维营、俄罗斯索契并称为“世界三个大国家领导人度假胜地之一”，抵达后游览【老虎石海上公园】(游览时间1小时)因礁石似虎而得名的老虎石海滨浴场，这里是您休闲浪漫的绝佳之地，这里风清水秀,浴场潮平,沙软滩缓,在这里倾听大海的呼吸，欣赏沙鸥翔集，海天一色的壮丽景色。同时漫步欧式风情一条街，感受北戴河海滨浪漫的西洋式建筑风情小城。  晚餐升级北戴河特色美食，【海鲜大咖宴】，感受虾肥蟹美的渤海之滨的独特风味！结束当日行程，入住酒店休息。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早餐：含；午餐：含；晚餐：含；住宿：秦皇岛</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山海关-唐山150公里约2小时(巴士)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长风破浪会有时，直挂云帆济沧海”到了海边，不得不参加的体验就是乘坐【音乐帆船出海】。不同于游船，快艇。帆船更加私密和富于激情。帆船初体验，帆船适合几乎所有年龄段的人群，一起能够感受到在大海中驰骋飞扬、真正与大海零距离接触、体验征服大自然的乐趣。（此处记得要自拍，给朋友圈一个完美的交代）游览北戴河海滨最佳踏海基地——浅水湾海滩赶海拾贝站在软软的沙滩上，迎着清爽的海风，远眺广阔湛蓝的大海，感受大海的气息！观海听涛、赶海拾贝，在浅滩抓鱼捉蟹，挖蛤蜊，捡海螺，运气好的话还可以捡到漂亮的海星。漫步海滨“新景观之一”的【亲海木栈道】，这是一段浪漫与美好的完美邂逅，踏上顺着海滩一路蜿蜒曲折向前的木栈道，在这里畅快贪婪地呼吸，一路陪伴你的是温润细腻的海风，碧海、沙滩、蓝天、景点与健走大道相应在一起，眼中是一幅绝美的生态美景，耳畔是声声不息的海浪，体味木栈道的风景之里与风景之外。远眺候鸟栖息地中国保存最完好大潮坪【鸽子窝大潮坪】，聆听毛主席名篇“浪淘沙·北戴河”，寻找伟人的足迹，感受“大雨落幽燕，白浪滔天，秦皇岛外打渔船”的恢宏气势！游览举世闻名的万里长城东部起点--【海上长城老龙头】(游览时间1.5小时)，登点将台、入海石城，游八卦奇阵、龙武营、宁海城。长城与大海在这里握手。站在高高的澄海楼上，长城入海的壮丽景观尽收眼底，体验海天相连的壮美景观。不到长城非好汉，那我选择泡在海里的长城看一看——央视《航拍中国》栏目、北京卫视《了不起的长城》专题取景地，一生必看的海上长城！之后前往国家5A级旅游景区、国家历史文化名城、中国长城“三大奇观之一”（东有山海关、中有居庸关、西有嘉峪关）【山海关古城】（不含登城楼费用），因其依山襟海，故名山海关。赋有“两京锁钥无双地，万里长城第一关”之称【游览时间约1小时】仰望雄浑壮观的“天下第一关”巨匾和镇东楼，领略六百年雄关风采，感受明代边防重镇的气息，游览明清仿古商业街，体验山海关的风土人情，让您真正体会“南有丽江，中有平遥，北有山海关”的古城风韵。中餐升级河北省非遗文化美食，满族特色【山海关浑锅宴】，感受舌尖上的山海关。乘车前往“凤凰之城”“渤海明珠”--唐山市，抵达后游览国家AAAAA级景区唐山南湖·开滦旅游景区，原为开滦煤矿采煤沉降区，经过多年的生态修复治理，现已成为环境优美的城市中央生态公园。其先后获得河北省“人居环境奖”和国家“中国人居环境范例奖”、“迪拜国际改善居住环境最佳范例奖”、“国家城市湿地公园”河北省首批“五星级公园”、首批“全国生态文化示范基地”等称号，丹凤朝阳、龙山、国内园、龙泉湾、云凤岛、凤凰台等130余处景观，展现了生态修复之美。感受到唐山从工业文明向生态文明转型的历程。游览国家AAAA级景区【河头老街·大唐百戏园】依托唐太宗东征高句丽的传说，打造沉浸式盛唐文化主题景区，再现大唐盛世气象以唐津运河为轴，量身定制“最唐山”全场景，被称为“北方的水上大唐不夜城”。融合唐山本土的皮影戏、乐亭大鼓、评剧（“冀东文艺三枝花”）等非遗表演，景区设免费茶饮等爱心驿站，多种NPC互动，让您“沉浸式体验感”与“情绪价值”拉满，感受最热情的唐山！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早餐：含；午餐：含；晚餐：含；住宿：唐山</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唐山-沧州·吴桥315公里约4小时(巴士)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河海狮城·文物沧州”--沧州市。抵达后品尝沧州非遗地标美食【沧州火锅鸡】以三黄鸡为主料，麻辣汤底炖煮入味，鸡肉鲜嫩入味，越煮越香，吃完还能涮菜，配陈醋蒜泥蘸料，是沧州人餐桌上的烟火灵魂。午餐游览游览国家AAAA级旅游景区，世界唯一的杂技主题公园【吴桥杂技大世界】，“上至九十九，下至刚会走，吴桥耍杂技，人人有一手”这句流传千年至今的民谣生动反映了吴桥悠久的杂技历史和精湛的杂技艺术高度，1954年吴桥被周恩来总理亲自命名为“中国杂技之乡”。“吴桥杂技大世界”占地200公顷，集游乐、人文、博物、民俗、杂技演艺于一体。【江湖文化城】完整复刻“北京天桥、天津三不管、南京夫子庙、上海大世界”四大传统江湖演艺码头的风貌；演员多着清代服饰，用江湖行话（春典）互动，打造沉浸式百年杂技江湖体验。让游人充分领略吴桥杂技艺人的奇招绝活，把过去艺人四海为家的生活情景展视的淋漓尽致，集中展示了清末民初的旧中国市井社会百相的文化氛围。   · 江湖八大怪：招牌演出，包括“鬼手”王宝合的三仙归洞、肚皮切菜、上刀山、鼻穿骨针、蹬大缸、双手书法说唱等濒临失传的绝技；鬼手居、吹破天剧场、杂技小院均有固定场次。· 街头沉浸式演艺：拉洋片、独台戏、驯白鼠、山羊走钢丝、猴子骑车、斗鸡、吹糖人等，遍布街巷，一步一景一艺。· 民俗氛围：仿古城门、镖局、茶楼、酒肆，搭配艺人的“卖口”（传统说唱式吆喝），还原老江湖撂地卖艺的真实场景。【江湖秀·大型实景杂技演出】是河北沧州吴桥杂技大世界江湖大剧院的标志性室内杂技剧，2022年首演，截至2025年已完成4次改版，入选文化和旅游部第二批全国旅游演艺精品名录。整场演出约70分钟，由百余名专业杂技演员演绎《双浪桥》《大飞轮》《龙跃神州—中幡》（央视春晚同款、获金狮/金菊奖）、单人绸吊、翻板柔术等精品节目；以国风美学为基调，搭配水幕、纱幕、移动LED、环绕声等高科技舞美，串联起杂技艺术的千年变迁，既保留吴桥杂技“惊险奇绝”的传统精髓，又赋予现代沉浸式的视听震撼，是中国吴桥国际杂技艺术节的核心展演剧目之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早餐：含；午餐：含；晚餐：含；住宿：沧州</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沧州·吴桥-邯郸·永年 240公里约3小时(巴士)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早餐后前往“成语之都·太极之城”一座等了你三千年的城--邯郸。中餐升级广府古城特色美食，【广府酥鱼宴】，以当地地标美食--广府酥鱼为核心菜品，荣登CCTV7央视上榜美食。    游览游览国家5A级景区、中国历史文化名镇，自古就有“古城、水城、太极城”之美誉的【广府古城】（游览时间约2小时）它是我国平原地区保存较为完整的一座古城，黄圣依主演的著名电视连续剧《广府太极传奇》的外景拍摄地，这里是杨、武式太极拳的发源地，有“中国太极拳之乡”之称。古城距今已有2600多年历史，因明清时期曾为广平府治所而得名。其城墙周长4.5公里，高12米，宽8米，城内面积1.5平方公里，城墙四周是宽100米的护城河，护城河外是4.6万亩的永年洼，形成独特的“一城双水”景观。古城内外历史文物及遗存众多，有广府古城和弘济桥两处全国重点文物保护单位，以及杨露禅、武禹襄故居等省、市文物保护单位20余处。（不含景区内单独售票小景点，如需参观敬请自理）     游览国家AAAA级景区、“国家重点公园”、百家“全国名园”之一【丛台公园】（游览时间约1.5小时）始建于赵武灵王时期，至今已有千年历史，武灵从台是赵武灵王赵雍“胡服骑射”的发生地，赵武灵王赵雍建筑从台的目的，是大型庆典和军事操演的重要场所，设有武灵丛台、七贤祠、秦始皇出生地纪念馆等。园中古典建筑，亭台楼榭，掩映在苍松翠柳中，湖光山色，风光秀美。后前往【邯郸道历史文化街区】（游览时间约1小时）游览【邯郸道历史文化街区】，其最初为商代形成的南北交通要道，战国时期成为赵国连接燕、魏的军事商贸枢纽，汉代发展为学子赴京赶考的必经之路，唐宋以后因“黄粱梦”典故被赋予功名象征。拥有回车巷、邯郸行宫、邯山书院等十景，“漫步邯郸道、阅尽三千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早餐：；午餐：；晚餐：；住宿：邯郸</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邯郸·涉县-石家庄·赵县220公里约2.5小时(巴士)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国家级风景名胜区，全国重点文物保护单位，国家5A景区--【娲皇宫】，这里是中国神话传说女娲娘娘炼石补天，抟土造人之地，始建于北齐时期，初为北齐文宣帝高洋所建离宫，后经历代修葺续建，如今建筑多为明清时期。是中国规模最大、肇建时间最早、影响地域最广的奉祀女娲的历史文化遗存，被誉为“华夏祖庙”，为全国祭祖圣地之一，也是中国现存摩崖刻经中最早、字数最多的一处。诺大的娲皇阁用九根铁索链与山体相连，被誉为“活楼”、“吊庙”，充分体现了中华古代工匠的智慧，堪称一绝！   前往全国重点文物保护单位，国家4A级景区，红色革命圣地--【一二九师司令部旧址】从1940年12月一二九师迁驻此地到1945年12月成立晋冀鲁豫军区和晋冀鲁豫中央局，刘伯承师长、邓小平政委、李达参谋长等老一辈无产阶级革命家在此领导广大军民，彻底粉碎了日军对根据地的残酷扫荡。解放战争中，在这里指挥了上党、平汉等战役，为取得抗日战争和解放战争的胜利作出了巨大的贡献。中餐升级革命老区特色传统美食【红军庆功宴】感受太行山区道地的乡野口味。后乘车前往石家庄赵县，走近国家4A级景区，小学课本中的《赵州桥》，赵州桥又称安济桥，始建于公元605年，由著名匠师李春设计和建造，距今已有1400年历史。是一座空腹式的圆弧形石拱桥，是中国现存最早、保存最好的巨大石拱桥。为第一批全国重点文物保护单位。被入选中国世界纪录协会世界最早的敞肩石拱桥，创造了世界之最。河北民间将赵州桥与沧州铁狮子、定州开元寺塔、正定隆兴寺菩萨像并称为"华北四宝"。晚餐升级，石家庄赵县特色美食，【赵州宴】。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早餐：含；午餐：含；晚餐：含；住宿：石家庄</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石家庄-昆明(飞机)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早餐后，结束愉快的河北之旅，适时前往昆明机场，返程回家，河北期待您的下次光临！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费用包含：1、住宿：全程三钻住宿+升级1晚网评五钻或五星。2、用餐：全程含9早16正餐，不用不退；3、用车：全程旅游空调车，保证每人一正座；4、导游：全程导游服务；5、保险：旅行社责任险；（建议客人购买旅游人身意外险）。费用不含：1.必消套餐：避暑山庄环山车+耳机+《唐王东征》实景演出+白洋淀往返游船+冉庄地道战讲解+耳机+西柏坡电瓶车+讲解+耳机+白石山往返索道+娲皇宫电瓶车+帆船出海+吴桥获奖杂技70分钟大秀演艺+综合服务费：打包综合优惠价499元/人报名即认可此项费用，交与当地导游，此套餐没有任何证件优惠，不可拆解，未参单项的不予退费！2.门票；参团人员根据自己年龄按景区相应政策自补差价60岁以下：623元/人60-69岁：163元/人70岁以上：10元/人</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赵陆艳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秦世莲</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2026/9/2 11:40:59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