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锦爱</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李勤勤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ZLY15FJ250912C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9.12东北全景双飞15天（通辽版）3团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2025-09-12 DR6542 昆明→沈阳 15:20经停威海-21:00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2025-09-26 DR6541 沈阳→昆明 07:20经停威海-13:1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1、杨光娥</w:t>
            </w:r>
          </w:p>
        </w:tc>
        <w:tc>
          <w:tcPr>
            <w:tcW w:w="2310" w:type="dxa"/>
            <w:vAlign w:val="center"/>
            <w:gridSpan w:val="2"/>
          </w:tcPr>
          <w:p>
            <w:pPr/>
            <w:r>
              <w:rPr>
                <w:lang w:val="zh-CN"/>
                <w:rFonts w:ascii="Times New Roman" w:hAnsi="Times New Roman" w:cs="Times New Roman"/>
                <w:sz w:val="20"/>
                <w:szCs w:val="20"/>
                <w:color w:val="000000"/>
              </w:rPr>
              <w:t>53010319530205062X</w:t>
            </w:r>
          </w:p>
        </w:tc>
        <w:tc>
          <w:tcPr>
            <w:tcW w:w="2310" w:type="dxa"/>
            <w:vAlign w:val="center"/>
          </w:tcPr>
          <w:p>
            <w:pPr/>
            <w:r>
              <w:rPr>
                <w:lang w:val="zh-CN"/>
                <w:rFonts w:ascii="Times New Roman" w:hAnsi="Times New Roman" w:cs="Times New Roman"/>
                <w:sz w:val="20"/>
                <w:szCs w:val="20"/>
                <w:color w:val="000000"/>
              </w:rPr>
              <w:t>13529135653</w:t>
            </w:r>
          </w:p>
        </w:tc>
        <w:tc>
          <w:tcPr>
            <w:tcW w:w="2310" w:type="dxa"/>
            <w:vAlign w:val="center"/>
          </w:tcPr>
          <w:p>
            <w:pPr/>
            <w:r>
              <w:rPr>
                <w:lang w:val="zh-CN"/>
                <w:rFonts w:ascii="Times New Roman" w:hAnsi="Times New Roman" w:cs="Times New Roman"/>
                <w:sz w:val="20"/>
                <w:szCs w:val="20"/>
                <w:color w:val="000000"/>
              </w:rPr>
              <w:t>2、余文仙</w:t>
            </w:r>
          </w:p>
        </w:tc>
        <w:tc>
          <w:tcPr>
            <w:tcW w:w="2310" w:type="dxa"/>
            <w:vAlign w:val="center"/>
            <w:gridSpan w:val="2"/>
          </w:tcPr>
          <w:p>
            <w:pPr/>
            <w:r>
              <w:rPr>
                <w:lang w:val="zh-CN"/>
                <w:rFonts w:ascii="Times New Roman" w:hAnsi="Times New Roman" w:cs="Times New Roman"/>
                <w:sz w:val="20"/>
                <w:szCs w:val="20"/>
                <w:color w:val="000000"/>
              </w:rPr>
              <w:t>530103196201240621</w:t>
            </w:r>
          </w:p>
        </w:tc>
        <w:tc>
          <w:tcPr>
            <w:tcW w:w="2310" w:type="dxa"/>
            <w:vAlign w:val="center"/>
          </w:tcPr>
          <w:p>
            <w:pPr/>
            <w:r>
              <w:rPr>
                <w:lang w:val="zh-CN"/>
                <w:rFonts w:ascii="Times New Roman" w:hAnsi="Times New Roman" w:cs="Times New Roman"/>
                <w:sz w:val="20"/>
                <w:szCs w:val="20"/>
                <w:color w:val="000000"/>
              </w:rPr>
              <w:t>15969439031</w:t>
            </w:r>
          </w:p>
        </w:tc>
      </w:tr>
      <w:tr>
        <w:tc>
          <w:tcPr>
            <w:tcW w:w="2310" w:type="dxa"/>
            <w:vAlign w:val="center"/>
          </w:tcPr>
          <w:p>
            <w:pPr/>
            <w:r>
              <w:rPr>
                <w:lang w:val="zh-CN"/>
                <w:rFonts w:ascii="Times New Roman" w:hAnsi="Times New Roman" w:cs="Times New Roman"/>
                <w:sz w:val="20"/>
                <w:szCs w:val="20"/>
                <w:color w:val="000000"/>
              </w:rPr>
              <w:t>3、任树生</w:t>
            </w:r>
          </w:p>
        </w:tc>
        <w:tc>
          <w:tcPr>
            <w:tcW w:w="2310" w:type="dxa"/>
            <w:vAlign w:val="center"/>
            <w:gridSpan w:val="2"/>
          </w:tcPr>
          <w:p>
            <w:pPr/>
            <w:r>
              <w:rPr>
                <w:lang w:val="zh-CN"/>
                <w:rFonts w:ascii="Times New Roman" w:hAnsi="Times New Roman" w:cs="Times New Roman"/>
                <w:sz w:val="20"/>
                <w:szCs w:val="20"/>
                <w:color w:val="000000"/>
              </w:rPr>
              <w:t>530103195309100650</w:t>
            </w:r>
          </w:p>
        </w:tc>
        <w:tc>
          <w:tcPr>
            <w:tcW w:w="2310" w:type="dxa"/>
            <w:vAlign w:val="center"/>
          </w:tcPr>
          <w:p>
            <w:pPr/>
            <w:r>
              <w:rPr>
                <w:lang w:val="zh-CN"/>
                <w:rFonts w:ascii="Times New Roman" w:hAnsi="Times New Roman" w:cs="Times New Roman"/>
                <w:sz w:val="20"/>
                <w:szCs w:val="20"/>
                <w:color w:val="000000"/>
              </w:rPr>
              <w:t>15887096045</w:t>
            </w:r>
          </w:p>
        </w:tc>
        <w:tc>
          <w:tcPr>
            <w:tcW w:w="2310" w:type="dxa"/>
            <w:vAlign w:val="center"/>
          </w:tcPr>
          <w:p>
            <w:pPr/>
            <w:r>
              <w:rPr>
                <w:lang w:val="zh-CN"/>
                <w:rFonts w:ascii="Times New Roman" w:hAnsi="Times New Roman" w:cs="Times New Roman"/>
                <w:sz w:val="20"/>
                <w:szCs w:val="20"/>
                <w:color w:val="000000"/>
              </w:rPr>
              <w:t>4、王晓德</w:t>
            </w:r>
          </w:p>
        </w:tc>
        <w:tc>
          <w:tcPr>
            <w:tcW w:w="2310" w:type="dxa"/>
            <w:vAlign w:val="center"/>
            <w:gridSpan w:val="2"/>
          </w:tcPr>
          <w:p>
            <w:pPr/>
            <w:r>
              <w:rPr>
                <w:lang w:val="zh-CN"/>
                <w:rFonts w:ascii="Times New Roman" w:hAnsi="Times New Roman" w:cs="Times New Roman"/>
                <w:sz w:val="20"/>
                <w:szCs w:val="20"/>
                <w:color w:val="000000"/>
              </w:rPr>
              <w:t>530103195205070637</w:t>
            </w:r>
          </w:p>
        </w:tc>
        <w:tc>
          <w:tcPr>
            <w:tcW w:w="2310" w:type="dxa"/>
            <w:vAlign w:val="center"/>
          </w:tcPr>
          <w:p>
            <w:pPr/>
            <w:r>
              <w:rPr>
                <w:lang w:val="zh-CN"/>
                <w:rFonts w:ascii="Times New Roman" w:hAnsi="Times New Roman" w:cs="Times New Roman"/>
                <w:sz w:val="20"/>
                <w:szCs w:val="20"/>
                <w:color w:val="000000"/>
              </w:rPr>
              <w:t>13078714977</w:t>
            </w:r>
          </w:p>
        </w:tc>
      </w:tr>
      <w:tr>
        <w:tc>
          <w:tcPr>
            <w:tcW w:w="2310" w:type="dxa"/>
            <w:vAlign w:val="center"/>
          </w:tcPr>
          <w:p>
            <w:pPr/>
            <w:r>
              <w:rPr>
                <w:lang w:val="zh-CN"/>
                <w:rFonts w:ascii="Times New Roman" w:hAnsi="Times New Roman" w:cs="Times New Roman"/>
                <w:sz w:val="20"/>
                <w:szCs w:val="20"/>
                <w:color w:val="000000"/>
              </w:rPr>
              <w:t>5、颜鸭桂</w:t>
            </w:r>
          </w:p>
        </w:tc>
        <w:tc>
          <w:tcPr>
            <w:tcW w:w="2310" w:type="dxa"/>
            <w:vAlign w:val="center"/>
            <w:gridSpan w:val="2"/>
          </w:tcPr>
          <w:p>
            <w:pPr/>
            <w:r>
              <w:rPr>
                <w:lang w:val="zh-CN"/>
                <w:rFonts w:ascii="Times New Roman" w:hAnsi="Times New Roman" w:cs="Times New Roman"/>
                <w:sz w:val="20"/>
                <w:szCs w:val="20"/>
                <w:color w:val="000000"/>
              </w:rPr>
              <w:t>530103195111240623</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5530.00</w:t>
            </w:r>
          </w:p>
        </w:tc>
        <w:tc>
          <w:tcPr>
            <w:tcW w:w="2310" w:type="dxa"/>
          </w:tcPr>
          <w:p>
            <w:pPr/>
            <w:r>
              <w:rPr>
                <w:lang w:val="zh-CN"/>
                <w:rFonts w:ascii="Times New Roman" w:hAnsi="Times New Roman" w:cs="Times New Roman"/>
                <w:sz w:val="20"/>
                <w:szCs w:val="20"/>
                <w:color w:val="000000"/>
              </w:rPr>
              <w:t>27650.00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总金额：贰万柒仟陆佰伍拾元整</w:t>
            </w:r>
          </w:p>
        </w:tc>
        <w:tc>
          <w:tcPr>
            <w:tcW w:w="2310" w:type="dxa"/>
            <w:textDirection w:val="right"/>
            <w:gridSpan w:val="3"/>
          </w:tcPr>
          <w:p>
            <w:pPr/>
            <w:r>
              <w:rPr>
                <w:lang w:val="zh-CN"/>
                <w:rFonts w:ascii="Times New Roman" w:hAnsi="Times New Roman" w:cs="Times New Roman"/>
                <w:b/>
                <w:color w:val="FF0000"/>
              </w:rPr>
              <w:t>27650.00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昆明前往沈阳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新装修准三酒店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沈阳-塔敏查干沙漠 250km 约 3H—通辽 60km 约 1(巴士)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通辽-霍林郭勒（280KM 车程约 3.5H）(巴士)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新装修准三酒店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霍林郭勒/乌拉盖—阿尔山（400 公里，车程约 4.5H）(巴士)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阿尔山—满洲里 450km 约 4.5H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早餐后一路欣赏中国四大牧场之一的呼伦贝尔大草原，这里仅有牧民和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少数的摄影家，到达这里的游客少之又少，这才是真正的深入草原，平整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的草原像绿油油的地毯，远处山峦起伏，朵朵白云山边飘来，群群牛羊簇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簇毡包。在呼伦贝尔草原的腹地，这里是“成吉思汗”黄金家族彻底覆灭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的地方，明朝将领蓝玉在这里追杀大元皇帝天元帝，彻底结束了元朝的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统治。这里草天相连、人烟罕至，自然环境保护良好，车辆行驶其中，如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同驶向蓝天白云，驶入草原的天堂。乘【越野车穿越草原】抵达草原最深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处，看草原美景。游览呼伦湖的出口【远观二卡跨国湿地】，这里有呼伦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贝尔“第二森林”之称，走过13道湾的湿地桥，探访近在咫尺的中国友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好邻邦俄罗斯。后乘车赴中国最大的陆路口岸、魅力名城——满洲里，满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洲里是一座美丽富饶的边境城市，走在满洲里的街道仿佛置身于异国他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乡，哥特式的建筑，满街的俄文和金发碧眼的俄罗斯姑娘，让您体验过草原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的雄伟壮阔之后再体验异国他乡的风情。【中俄第五代国门】AAAAA（外观）坐落于满洲里市区以西8公里处中俄两国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铁路连接点中方一侧，与原苏联国门相对应。建筑风格为后工业时代风格。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国门呈“门”字型，庄严伟岸。总面积约20万平方米，年接待游客200万人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次。满洲里第五代国门是中国陆路口岸最大的国门。【满洲里版“迪士尼乐园”-套娃景区】（外观）是以俄罗斯传统工艺品——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套娃形象为主题的大型综合旅游度假景区，园区拥有以莫斯科红场为建筑元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素的景区入口和游客中心，以圣彼得堡喋血大教堂为外观的俄罗斯民俗体验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馆、以伊萨吉普大教堂为建筑形象的中俄友谊展览馆，以及将俄罗斯特色建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筑按原比例建设的俄罗斯玉石加工直营店、俄罗斯紫金珠宝直营店、俄罗斯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香肠加工直营店、俄罗斯画舫、俄蒙食品超市、套娃体验店、俄罗斯皇家琥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珀宫，所有商品由俄罗斯传统工匠精心手工打造。酒店：满洲里当地新装修准三酒店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满洲里—额尔古纳 320 ㎞ 约 3H—根河 120 ㎞ 约 2H(巴士)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早餐后乘延【边防公路景观带】—从黑山头镇到满洲里沿途200余公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里，这是一条中国对俄罗斯的边防公路，一路上口岸和关卡众多，因人烟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罕至而保留了原生态的草原景观，茫茫草原和蓝天相接，车子驶入其中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如同开往天际。抵达【33湿地停靠点】边防公路右侧大片草原湿地风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光，远处湖边能看到野生水禽和飞翔的苍鹰，三五成群的野马，羊群，景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色让人陶醉。游览后乘车赴额尔古纳，【额尔古纳湿地公园】AAAA欣赏亚洲第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一湿地，远离城市的雾霾与喧嚣，呼吸国家湿地的高负离子空气，恋上这里的清澈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与静逸。根河像一条银色的玉带，弯弯曲曲的在平坦的草原上流淌，它有大兴安岭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腹地的塔里亚河、阿龙河、金河、敖鲁古雅河汇集形成。形成壮观秀丽的河流湿地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景观。【驯鹿使鹿部落】探访使鹿部落，他们藏于大兴安岭林区的林海雪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原之中，在零下40多度的极端条件下生存，坚守着最原始的狩猎方式，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与驯鹿为伴。原始、氏族公社的种种迹象和思维方式至今仍然在他们中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间部分保留着，是中国唯一饲养驯鹿的民族。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酒店：额尔古纳/根河木屋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1、来到呼伦贝尔大草原请您一定尊重草原人民的风俗习惯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2、呼伦贝尔草原紫外线强烈，请自备防晒护肤用品。草原早晚温差较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早餐：含；午餐：含；晚餐：含；住宿：额尔古纳/根河木屋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根河—北极村 420 ㎞ 约 6.5H(巴士)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早餐后乘车赴北极村，尽情体验与自然亲近的欢愉，尽情享受穿越原始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森林腹地的浪漫，抵达中国最北、中俄界江边上的【北极村】，游览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【北极沙洲】寻找中国最北点、中俄界江风光；沿江观赏对岸俄罗斯远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东地区有浓郁的异域特点小村庄-【伊格那思依诺村】江里盛产珍贵的冷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水鱼，品种极多，有哲罗、细鳞、大马哈、鳇鱼等等。后参观中华北极的标志性建筑物—【神州北极碑】此石碑与号称天涯海角的“南天一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柱”齐名，并与之遥相呼应，是北极村的一个象征性标记。凡是来北极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村游览观光的客人，均会在此石碑前摄影留念，以证北极之约。游览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【中国最北一家】并与其“木揢楞”式的小木屋拍照留念，参观【最北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邮局】—购买几张明信片，印上最北的邮戳，给远方的家人和朋友寄去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来自祖国最北的问候.欣赏【北极星空】远离城市的喧嚣，那么抬头便是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让人神往的无际星空，巨大的北斗七星就在眼前好像伸手就能摸到，在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浩瀚的星空下会感觉自己是那样的渺小和孤单。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酒店：北极村当地家庭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旅馆/漠河当地快捷酒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店温馨提示：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1.当天车程时间较长，烦请配合导游合理安排游览时间，自备小食。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北极村景区内住宿资源紧张，如遇无房情况下我社有权调整至漠河民宿/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早餐：含；午餐：含；晚餐：含；住宿：北极村当地家庭旅馆</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北极村—鹿鼎山 484km 车程约 6.5H—黑河 217km 车程约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新装修准三酒店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黑河—五大连池 280 ㎞ 约 3.5H—齐齐哈尔 270km 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后乘车前往游览【五大连池景区】，午餐后游览【北饮泉】（游览约20 分钟）观赏熔岩台地、益身亭、品尝世界三大冷泉之一的五大连池矿泉水，泉湖瀑布、北苑赏苇、药泉湖是火山熔岩形成的堰塞湖。游览后乘车赴齐齐哈尔入住酒店。酒店：齐齐哈尔当地新装修准三酒店    温馨提示：1. 当天车程时间较长，烦请配合导游合理安排游览时间，自备小食.五大连池景区隶属五大连池自然保护区，每年景区定期维护，如团队在行进过程中遇【北饮泉】未开放置换【药泉山】景区，给您带来不便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早餐：含；午餐：含；晚餐：含；住宿：齐齐哈尔</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齐齐哈尔—哈尔滨 300 ㎞ 约 4H(巴士)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扎龙自然保护区】扎龙湿地是世界上最大的芦苇湿地，也是丹顶鹤的故乡。来扎龙可以看到丹顶鹤们优美的身姿，它们或展翅飞翔、或在芦苇丛中蹒跚觅食，每年都有大批的摄影爱好者来此捕捉这些美丽的画面。游览后乘车赴【哈拉新村梅里斯景区】（赠送），参加达斡尔族欢迎仪式——迎宾酒，观看民族英雄雕像、阿拉古城，参观传统的达斡尔民居。莫旗是全国仅有的三个少数民族；中餐品尝达斡尔民族特色餐。午餐后参观索伦三部（鄂伦春，鄂温克达斡尔）民族舞蹈，观看非遗表演，三少民族集体舞，与演员互动，感受达斡尔人能歌善舞的传承和热情自治旗之一。全旗有汉，蒙古，回、满，朝鲜，达斡尔，俄罗斯，鄂温克，鄂伦春等17 个民族，观非遗展示园、观看非遗表演、三少集体舞互动体验演出、观萨满文化博物馆、雅克萨城、曲棍球基地；游览后乘车赴哈尔滨。酒店：哈尔滨当地新装修准三酒店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哈尔滨—镜泊湖 400 ㎞ 约 5.5H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镜泊湖—二道白河 270 ㎞ 约 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新装修准三酒店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沈阳—温馨的家(飞机)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入住当地准三酒店，北级村，根河，漠河为家庭宾馆2、全程含14早27正3、全程0自费0购物，景区里的不算店4、全程不含门票，跟据年龄来收门票60岁以下门票需补983元/人门票60-64岁门票需补638元/人门票65-69岁门票需补320元/人门票70岁以上门票需补140元/人5、全程不含景交718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李勤勤</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2025/9/5 10:47:29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