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弥勒阿里巴巴旅行社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ZLY19TR250908A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千回西域 ·超级南北疆双卧 19 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2025-09-08 Z372 昆明→乌鲁木齐 15:19-06:16+</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1、徐艳</w:t>
            </w:r>
          </w:p>
        </w:tc>
        <w:tc>
          <w:tcPr>
            <w:tcW w:w="2310" w:type="dxa"/>
            <w:vAlign w:val="center"/>
            <w:gridSpan w:val="2"/>
          </w:tcPr>
          <w:p>
            <w:pPr/>
            <w:r>
              <w:rPr>
                <w:lang w:val="zh-CN"/>
                <w:rFonts w:ascii="Times New Roman" w:hAnsi="Times New Roman" w:cs="Times New Roman"/>
                <w:sz w:val="20"/>
                <w:szCs w:val="20"/>
                <w:color w:val="000000"/>
              </w:rPr>
              <w:t>532526196412250027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2、徐青</w:t>
            </w:r>
          </w:p>
        </w:tc>
        <w:tc>
          <w:tcPr>
            <w:tcW w:w="2310" w:type="dxa"/>
            <w:vAlign w:val="center"/>
            <w:gridSpan w:val="2"/>
          </w:tcPr>
          <w:p>
            <w:pPr/>
            <w:r>
              <w:rPr>
                <w:lang w:val="zh-CN"/>
                <w:rFonts w:ascii="Times New Roman" w:hAnsi="Times New Roman" w:cs="Times New Roman"/>
                <w:sz w:val="20"/>
                <w:szCs w:val="20"/>
                <w:color w:val="000000"/>
              </w:rPr>
              <w:t>532526195705150025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3、吕玉芬</w:t>
            </w:r>
          </w:p>
        </w:tc>
        <w:tc>
          <w:tcPr>
            <w:tcW w:w="2310" w:type="dxa"/>
            <w:vAlign w:val="center"/>
            <w:gridSpan w:val="2"/>
          </w:tcPr>
          <w:p>
            <w:pPr/>
            <w:r>
              <w:rPr>
                <w:lang w:val="zh-CN"/>
                <w:rFonts w:ascii="Times New Roman" w:hAnsi="Times New Roman" w:cs="Times New Roman"/>
                <w:sz w:val="20"/>
                <w:szCs w:val="20"/>
                <w:color w:val="000000"/>
              </w:rPr>
              <w:t>532526196503011128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4、周洪祥</w:t>
            </w:r>
          </w:p>
        </w:tc>
        <w:tc>
          <w:tcPr>
            <w:tcW w:w="2310" w:type="dxa"/>
            <w:vAlign w:val="center"/>
            <w:gridSpan w:val="2"/>
          </w:tcPr>
          <w:p>
            <w:pPr/>
            <w:r>
              <w:rPr>
                <w:lang w:val="zh-CN"/>
                <w:rFonts w:ascii="Times New Roman" w:hAnsi="Times New Roman" w:cs="Times New Roman"/>
                <w:sz w:val="20"/>
                <w:szCs w:val="20"/>
                <w:color w:val="000000"/>
              </w:rPr>
              <w:t>532526196410110039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5、吕抗美</w:t>
            </w:r>
          </w:p>
        </w:tc>
        <w:tc>
          <w:tcPr>
            <w:tcW w:w="2310" w:type="dxa"/>
            <w:vAlign w:val="center"/>
            <w:gridSpan w:val="2"/>
          </w:tcPr>
          <w:p>
            <w:pPr/>
            <w:r>
              <w:rPr>
                <w:lang w:val="zh-CN"/>
                <w:rFonts w:ascii="Times New Roman" w:hAnsi="Times New Roman" w:cs="Times New Roman"/>
                <w:sz w:val="20"/>
                <w:szCs w:val="20"/>
                <w:color w:val="000000"/>
              </w:rPr>
              <w:t>532526195305051423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6、林云生</w:t>
            </w:r>
          </w:p>
        </w:tc>
        <w:tc>
          <w:tcPr>
            <w:tcW w:w="2310" w:type="dxa"/>
            <w:vAlign w:val="center"/>
            <w:gridSpan w:val="2"/>
          </w:tcPr>
          <w:p>
            <w:pPr/>
            <w:r>
              <w:rPr>
                <w:lang w:val="zh-CN"/>
                <w:rFonts w:ascii="Times New Roman" w:hAnsi="Times New Roman" w:cs="Times New Roman"/>
                <w:sz w:val="20"/>
                <w:szCs w:val="20"/>
                <w:color w:val="000000"/>
              </w:rPr>
              <w:t>532526195302191439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7、吕玉萍</w:t>
            </w:r>
          </w:p>
        </w:tc>
        <w:tc>
          <w:tcPr>
            <w:tcW w:w="2310" w:type="dxa"/>
            <w:vAlign w:val="center"/>
            <w:gridSpan w:val="2"/>
          </w:tcPr>
          <w:p>
            <w:pPr/>
            <w:r>
              <w:rPr>
                <w:lang w:val="zh-CN"/>
                <w:rFonts w:ascii="Times New Roman" w:hAnsi="Times New Roman" w:cs="Times New Roman"/>
                <w:sz w:val="20"/>
                <w:szCs w:val="20"/>
                <w:color w:val="000000"/>
              </w:rPr>
              <w:t>53252619590902002X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8、左开明</w:t>
            </w:r>
          </w:p>
        </w:tc>
        <w:tc>
          <w:tcPr>
            <w:tcW w:w="2310" w:type="dxa"/>
            <w:vAlign w:val="center"/>
            <w:gridSpan w:val="2"/>
          </w:tcPr>
          <w:p>
            <w:pPr/>
            <w:r>
              <w:rPr>
                <w:lang w:val="zh-CN"/>
                <w:rFonts w:ascii="Times New Roman" w:hAnsi="Times New Roman" w:cs="Times New Roman"/>
                <w:sz w:val="20"/>
                <w:szCs w:val="20"/>
                <w:color w:val="000000"/>
              </w:rPr>
              <w:t>532526195903180030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9、何保荣</w:t>
            </w:r>
          </w:p>
        </w:tc>
        <w:tc>
          <w:tcPr>
            <w:tcW w:w="2310" w:type="dxa"/>
            <w:vAlign w:val="center"/>
            <w:gridSpan w:val="2"/>
          </w:tcPr>
          <w:p>
            <w:pPr/>
            <w:r>
              <w:rPr>
                <w:lang w:val="zh-CN"/>
                <w:rFonts w:ascii="Times New Roman" w:hAnsi="Times New Roman" w:cs="Times New Roman"/>
                <w:sz w:val="20"/>
                <w:szCs w:val="20"/>
                <w:color w:val="000000"/>
              </w:rPr>
              <w:t>532526196002201118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10、吴红芝</w:t>
            </w:r>
          </w:p>
        </w:tc>
        <w:tc>
          <w:tcPr>
            <w:tcW w:w="2310" w:type="dxa"/>
            <w:vAlign w:val="center"/>
            <w:gridSpan w:val="2"/>
          </w:tcPr>
          <w:p>
            <w:pPr/>
            <w:r>
              <w:rPr>
                <w:lang w:val="zh-CN"/>
                <w:rFonts w:ascii="Times New Roman" w:hAnsi="Times New Roman" w:cs="Times New Roman"/>
                <w:sz w:val="20"/>
                <w:szCs w:val="20"/>
                <w:color w:val="000000"/>
              </w:rPr>
              <w:t>532526196404081163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11、刘春琼</w:t>
            </w:r>
          </w:p>
        </w:tc>
        <w:tc>
          <w:tcPr>
            <w:tcW w:w="2310" w:type="dxa"/>
            <w:vAlign w:val="center"/>
            <w:gridSpan w:val="2"/>
          </w:tcPr>
          <w:p>
            <w:pPr/>
            <w:r>
              <w:rPr>
                <w:lang w:val="zh-CN"/>
                <w:rFonts w:ascii="Times New Roman" w:hAnsi="Times New Roman" w:cs="Times New Roman"/>
                <w:sz w:val="20"/>
                <w:szCs w:val="20"/>
                <w:color w:val="000000"/>
              </w:rPr>
              <w:t>532526196709250028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12、罗永明</w:t>
            </w:r>
          </w:p>
        </w:tc>
        <w:tc>
          <w:tcPr>
            <w:tcW w:w="2310" w:type="dxa"/>
            <w:vAlign w:val="center"/>
            <w:gridSpan w:val="2"/>
          </w:tcPr>
          <w:p>
            <w:pPr/>
            <w:r>
              <w:rPr>
                <w:lang w:val="zh-CN"/>
                <w:rFonts w:ascii="Times New Roman" w:hAnsi="Times New Roman" w:cs="Times New Roman"/>
                <w:sz w:val="20"/>
                <w:szCs w:val="20"/>
                <w:color w:val="000000"/>
              </w:rPr>
              <w:t>532526196703241112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13、保新康</w:t>
            </w:r>
          </w:p>
        </w:tc>
        <w:tc>
          <w:tcPr>
            <w:tcW w:w="2310" w:type="dxa"/>
            <w:vAlign w:val="center"/>
            <w:gridSpan w:val="2"/>
          </w:tcPr>
          <w:p>
            <w:pPr/>
            <w:r>
              <w:rPr>
                <w:lang w:val="zh-CN"/>
                <w:rFonts w:ascii="Times New Roman" w:hAnsi="Times New Roman" w:cs="Times New Roman"/>
                <w:sz w:val="20"/>
                <w:szCs w:val="20"/>
                <w:color w:val="000000"/>
              </w:rPr>
              <w:t>532526195407150035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14、黄克明</w:t>
            </w:r>
          </w:p>
        </w:tc>
        <w:tc>
          <w:tcPr>
            <w:tcW w:w="2310" w:type="dxa"/>
            <w:vAlign w:val="center"/>
            <w:gridSpan w:val="2"/>
          </w:tcPr>
          <w:p>
            <w:pPr/>
            <w:r>
              <w:rPr>
                <w:lang w:val="zh-CN"/>
                <w:rFonts w:ascii="Times New Roman" w:hAnsi="Times New Roman" w:cs="Times New Roman"/>
                <w:sz w:val="20"/>
                <w:szCs w:val="20"/>
                <w:color w:val="000000"/>
              </w:rPr>
              <w:t>532526195807210017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15、田树生</w:t>
            </w:r>
          </w:p>
        </w:tc>
        <w:tc>
          <w:tcPr>
            <w:tcW w:w="2310" w:type="dxa"/>
            <w:vAlign w:val="center"/>
            <w:gridSpan w:val="2"/>
          </w:tcPr>
          <w:p>
            <w:pPr/>
            <w:r>
              <w:rPr>
                <w:lang w:val="zh-CN"/>
                <w:rFonts w:ascii="Times New Roman" w:hAnsi="Times New Roman" w:cs="Times New Roman"/>
                <w:sz w:val="20"/>
                <w:szCs w:val="20"/>
                <w:color w:val="000000"/>
              </w:rPr>
              <w:t>532526195503150035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16、韩伟忠</w:t>
            </w:r>
          </w:p>
        </w:tc>
        <w:tc>
          <w:tcPr>
            <w:tcW w:w="2310" w:type="dxa"/>
            <w:vAlign w:val="center"/>
            <w:gridSpan w:val="2"/>
          </w:tcPr>
          <w:p>
            <w:pPr/>
            <w:r>
              <w:rPr>
                <w:lang w:val="zh-CN"/>
                <w:rFonts w:ascii="Times New Roman" w:hAnsi="Times New Roman" w:cs="Times New Roman"/>
                <w:sz w:val="20"/>
                <w:szCs w:val="20"/>
                <w:color w:val="000000"/>
              </w:rPr>
              <w:t>532526196407240035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5880.00</w:t>
            </w:r>
          </w:p>
        </w:tc>
        <w:tc>
          <w:tcPr>
            <w:tcW w:w="2310" w:type="dxa"/>
          </w:tcPr>
          <w:p>
            <w:pPr/>
            <w:r>
              <w:rPr>
                <w:lang w:val="zh-CN"/>
                <w:rFonts w:ascii="Times New Roman" w:hAnsi="Times New Roman" w:cs="Times New Roman"/>
                <w:sz w:val="20"/>
                <w:szCs w:val="20"/>
                <w:color w:val="000000"/>
              </w:rPr>
              <w:t>94080.00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总金额：玖万肆仟零捌拾元整</w:t>
            </w:r>
          </w:p>
        </w:tc>
        <w:tc>
          <w:tcPr>
            <w:tcW w:w="2310" w:type="dxa"/>
            <w:textDirection w:val="right"/>
            <w:gridSpan w:val="3"/>
          </w:tcPr>
          <w:p>
            <w:pPr/>
            <w:r>
              <w:rPr>
                <w:lang w:val="zh-CN"/>
                <w:rFonts w:ascii="Times New Roman" w:hAnsi="Times New Roman" w:cs="Times New Roman"/>
                <w:b/>
                <w:color w:val="FF0000"/>
              </w:rPr>
              <w:t>94080.00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昆明前往新疆(火车)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指定时间乘火车出发前往“歌舞之乡·瓜果之乡·黄金玉石之邦”新疆维吾尔自治区，俗话说“没到过新疆之大不 知中国之大 ，没见过新疆之美不知中国之美” ，广博的新疆自治区占地面积有中国的六分之一。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火车途中，一路欣赏美景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乌鲁木齐/吐鲁番-富蕴/可可托海镇(巴士)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早接团，后前往【可可托海】，可可托海不是海，是【额尔齐斯大峡谷】美丽的丛林，哈萨克语的意思为"  绿色的丛林"，蒙古语，意为 "蓝色的河湾 "。可可托海神钟山景区里面奇峰怪林无数，瀑布飞流直下三千尺，温泉 水滑洗凝脂 … …然而最不容错过的是那一个个与爱情有关的元素。进入景区，你会发现自己完全置身在白桦林的海 洋。 白桦林游览区素以“浪漫情人岛”著称，树林内小桥流水，树影婆娑，形态万千。夏天的白桦给人清新的凉   爽，如果是秋天，那就是醉人的金黄。途中车上观看【可可苏里湿地】，可可苏里湿地，又称野鸭湖，湖面面积   2677亩，平均水深2米，湖中有大小浮岛20多个，水生植物丰富。芦苇浮在水面上，随风漂游，风一场景一场，湖面景色随芦苇的变动而变化。每年夏秋季节，成千上万的野鸭、水鸡、红雁云集在此繁衍生息。野鸭湖既 有西湖的精致秀美，又有白洋淀的苇荡迷宫 ，一派“沙鸥翔集”、 “鱼翔浅底”的水乡泽国美景。【温馨提示】1.请务必携带身份证原件。2.新疆与内地时差 2 小时，新疆作息参考时间： 9:30-10:00 上班，14:00 午饭，20:00 晚饭。 3.新疆4.5.6.7.8.9.10 月份天气不稳定，气候有明显变化，温差较大；一旦遇到下雨天，温度骤降；出游之前请您提前 准备厚衣物（厚毛衣、羽绒服、冲锋衣） ，以防感冒。4.司机或导游可根据实际情况在不减少行程和不影响观赏性情况下对浏览顺序进行调整；请谅解！? 新疆是一个   少数民族众多的地区，尊重地方的民族习惯是我们每个人都必须要做到的。 因此要求您在新疆旅游途中一定要认 真听从导游的讲解，不但能够让您了解到和少数民族交流的注意事项，而且对于增长知识也有一个很大的帮助！ 游览过程中注意安全，保管好自己的随身财物。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早餐：含；午餐：含；晚餐：含；住宿：富蕴/可可托海镇</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富蕴/可可托海镇—喀纳斯—贾登峪(巴士)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早餐后乘车赴【喀纳斯湖】，沿途欣赏阿勒泰大草原、 卧龙湾、月亮湾、神仙湾、 鸭泽湖、原始白桦林等自 然风光，中午左右到达贾登峪，换乘景区区间车，喀纳斯湖具北国风光之雄浑，又具江南山水之娇秀，加之这里还有“云海佛光 ”、“变色湖 ”、“浮木长堤 ”、“湖怪”等胜景、绝景怎能不称是西域之佳景、北面是白雪皑 皑高耸如云的友谊峰。湖周重峦叠嶂，山林尤如画屏。不同的植物群落层次分明，色彩各异。 喀纳斯湖景色，冰  川、草原、 山林、湖泊、蓝天白云交相辉映，犹如置身于亦真亦幻的童话世界中。游玩结束后前往餐厅享用晚餐，晚餐后抵达酒店由导游安排办理入住手续，手续办理完成后游客入住酒店， 当天行程圆满结束！【温馨提示】? 美景很美，提前多给照相机充电，爱拍照的你，别忘了多拍些靓影，带上保温杯，记住多喝点热水。1》 旺季喀纳斯排队时间较长，请提前做好心理准备。2》景区内条件有限，消费价格较贵，当天用餐条件非常有限，请做好心理准备。3》 山上昼夜温差大，注意添衣物，即使夏天也应准备保暖外套。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贾登峪-禾木-五彩滩-乌尔禾(巴士)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早起享用酒店早餐。餐后出发乘车前往中国十大最美乡村之一“禾木村 ”。 抵达【禾木景区】 抵达禾木后 首先享用午餐（用餐时间 1小时左右）置身禾木村，你一定会怀疑自己是否来到了传说中霍比特人的家园—— 夏尔国。点落于狭长山谷中的座座木屋炊烟袅袅，阳光愉快地洒在山坡金色的白桦林上，牛羊在山下悠闲自得 地埋头吃草，村旁流淌的蓝色禾木河水边。禾木村是一个被白桦树，雪山和禾木河流包围的美丽村庄，自然风 光原始，人迹罕至，在禾木河边摄影拍照，徒步沿栈道赴观景台观禾木村风貌，仿佛置身世外，享受被国内摄 影爱好者誉为“人间仙境 ”禾木。河从村边流淌而过，在树林中转了一个弯，继续向西奔流，汇入布尔津河。 游览结束后乘车前往【五彩滩景区】，五彩滩一河两岸，南北各异，是国家4A级景区，我国唯一的一条注入北 冰洋的河流――额尔齐斯河穿其而过 。 五彩滩惊艳的夕阳在等候着您的光临 。 额尔齐斯河静静地流淌，金秋时 节，河畔的白桦林镶金烁银，让人流连忘返。后游览结束后前往乌尔禾安排酒店入住休息。【温馨提示】? 当天坐车时间比较长，导游会介绍新疆当地的民风民俗，以及当地生活的习惯等等，大家可以认真倾听，多多 了解祖国的大西北，同时做好长途跋涉的乘车思想准备、 自备晕车贴和其他晕车药。 自备电影、歌曲以消遣。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早餐：含；午餐：含；晚餐：含；住宿：乌尔禾/和什托尔盖</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乌尔禾-魔鬼城-乌市/昌吉(巴士)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早起享用酒店早餐，餐后出发乘车前往参观【世界魔鬼城景区】 ：欣赏大自然鬼斧神工的杰作—雅丹地 貌，远眺风城，就像中世纪欧洲的一座大城堡 。 大大小小的城堡林立，高高低低参差错落 。 在起伏的山坡顶 上，布满血红、湛蓝、洁白、橙黄的各色石子，宛如魔女遗珠，更增添了几许神秘色彩，长期风蚀而形成的规 模宏大气势雄伟壮观风蚀奇特的自然景观。参观结束后前往克拉玛依白碱滩区享用午餐。后前往乌鲁木齐或昌 吉入住酒店！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乌市/昌吉-和田玉博物馆-天池-乌市/昌吉(巴士)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早餐后前往参观【和田玉博物馆】；乘车前往“人间瑶池 ”-【天山天池风景区】，传说这里是西王母和周 穆王瑶池相会，把酒言欢、互诉衷肠的爱情圣地。天山天池山天池风景区以天池为中心，包括天池上下4个完整 的山地垂直自然景观带，总面积380.69平方公里。天池湖面呈半月形，长3400米，最宽处约1500米，面积4.9 平方公里，最深处约105米。湖水清澈，晶莹如玉。 四周群山环抱，绿草如茵，野花似锦，有“天山明珠 ”盛 誉。挺拔、苍翠的云杉、塔松，漫山遍岭，遮天蔽日。游览结束后返回乌市安排酒店入住休息。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乌市/昌吉-和田玉加工厂-驼绒文化馆-精河/博乐(巴士)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早餐后前往参观【和田玉加工厂】；新疆的和田玉是中国最著名的玉石。古代上至帝王将相，下至黎民百 姓都热烈追捧。几千年来，人们崇玉、爱玉、 赏玉、玩玉、藏玉，人们对玉怀着一种特殊的情感，无论放在哪 里，都会散发出巨大的魅力，之后参观【大漠花语驼绒馆】 -以原生态、绿色环保、尊贵稀缺、高寒驼绒有限资 源研发高端系列驼绒产品为主 。驼绒制品具有轻 、 柔 、 暖的特点，因其柔软 、质轻 、稀有而被纤维专家称为 “天然蛋白质纤维”和“软黄金” 已经成为一种重要的出口物资，后前往精河/博乐安排酒店入住休息。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精河/博乐-赛里木湖-薰衣草庄园-那拉提镇(巴士)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早起餐后出发前往奇沟飞桥果子沟 ，【果子沟大桥】 是一条北上赛里木湖，南下伊犁河谷的著名峡谷孔 道，它宜人的风景被誉为“伊犁第一景 ”、“ 奇绝仙境”，车览 [亚洲最大跨度的跨山斜拉桥]（ 由于交通原因 不能停车）。后乘车赴素有“花城、塞外江南 ”之称的伊宁市，沿途欣赏塞外风光，抵水草丰美，风景如画的 【赛里木湖】 它像一颗璀璨的蓝宝石高悬于西天山之间的断陷盆中，湖中群山环绕，天水相映，春夏季节，湖 畔广阔的草地上，牧草如茵、黄花遍地、牛羊如云、牧歌悠悠、毡房点点、构成一幅充满诗情画意的古丝路画卷，可以使人们充分领略回归自然的浪漫情怀与塞外独特的民族文化，赛湖长期以来还流传着湖怪 、湖心风 洞、旋涡与湖底磁场等传说，这给美丽的赛里木湖又蒙上了一层极富想象力的神秘面纱。途经伊犁特色产业【薰 衣草庄园】，游览因其浪漫的色彩和芬芳的花穗，素有“芳香药草之后”美誉的薰衣草，后入住酒店。温馨提示：1》薰衣草一般在六月上旬至八月上旬期间陆续开放 ，花期受当地气候和地势等影响会有差别，故每个团期看到花 开的情况有所不同，组织方无法提前预知盛花期，望大家以平常心看待。2》赛里木湖景区首道区间车为导游购买区间车票后团队大巴驶入景区内。3》赛里木湖景区内有游船等景区内娱乐体验项目，自愿自理。? 那拉提景区内有骑马/雪莲谷等景区内娱乐体验项目，自愿自理。1、草原附近气温较低，建议游玩前备好御寒衣物。2、进入景区之前，建议备好一些干粮和饮用水，以便补充体力。3、到那拉提旅游，必须要带上相机，那拉提的美景不断，随手按下快门，都是最美的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那拉提草原-独库公路-巴音布鲁克-巴音镇(巴士)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早餐后前往游览【那拉提大草原】 ,  沿途欣赏伊犁河谷风光，伊犁河，巩乃斯河风光，一路的高山草原风 光。那拉提草原被称为“空中草原”，是世界四大河谷草原之一。那拉提是准葛尔蒙古语，意为“最先见到太阳 的地方”,这里山峦起伏，绿草如茵，既有草原的辽阔，又有溪水的柔美；既有群山的的俊秀，又有松林如涛的气 势。她以特有的原始的自然风貌，向世人展示天山深处一道宛如立体画卷般的风景长廊。乘车穿越【独库公路中 段】，横亘崇山峻岭，穿越深山峡谷，连接了众多少数民族聚居区。 它的贯通，使得南北疆路程由原来的1000多 公里缩短了近一半，堪称是中国公路建设史上的一座丰碑。如画如屏层峦叠翠，一步一景麦田云杉，草原雪山、 敖包和牛羊群如此美景也赋予了这里“百里画廊 ”的美称。沿途植被茂密的天山、浩瀚的草原和美丽的游牧风 情，途中蓝天白云侧身为伴，一路前行，翻越天山腹地，一路上风景不停地变换，从森林草原，到高山草甸，再 到寸草不生；高天流云，群峰之雪常年不化,环形公路前后蜿蜒盘旋，如一条卧龙矗立在云中之巅换乘景区区间车 进入【巴音布鲁克草原景区】，是中国第二大草原，仅次于内蒙古额尔多斯草原。 巴音布鲁克蒙古语意为 "富饶 的泉水 "，草原地势平坦，水草丰盛，是典型的禾草草甸草原，也是新疆最重要的畜牧业基地之一。 巴音布鲁克 草原通天河共有大小13处泉水，7个湖泊，以及还有20条河流。参观我国唯一以天鹅为保护对象的【天鹅湖保护 区】，是天鹅、灰鹤等珍贵飞禽的生息乐园，蜿蜒在草原上的开都河更素有【九曲十八弯】 的美称，在我国四大 名著之一的《西游记》 中，开都河还有一个脍炙人口的名字——通天河，传说唐僧取经的“晒经岛”就在和静县 境内，充满神秘气息，后前往入住酒店！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早餐：含；午餐：含；晚餐：含；住宿：巴音布鲁克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巴音-独库公路-天山神秘大峡谷-库车(巴士)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早餐后乘车沿独【独库公路南段】 一路向南，翻越险要的天山山脉，你会发现刚才还是“火焰地带 ”，此刻 已是山清水秀，在天山深处有两个高山湖泊如两块翡翠镶嵌在雪峰环绕的半山腰，被称为南天池的【大小龙池】 大、小龙池以湖光山色、秀丽山水享有盛名。夏季来临，细雨绵绵，山坡上青翠的云衫绿草，在雪峰的辉映下层层叠叠，使人心旷神怡，流连忘返。后乘车前往游览当今中国十大最美峡谷的【天山神秘大峡谷】，庞大的红色 山体群形成于距今 1.4亿年前的中生代的白垩纪,经亿万年的风剥雨蚀,洪流冲刷,远看如诗如画，近瞧若人似物，神 韵万端。尤以谷口处的三座山体(乃头山、丽人山、佛面山)最为壮观。特别在夕阳斜射,朝霞映山,极目远眺,色艳红 天。大有不是火焰山,胜似火焰山之奇感，是古丝绸之路黄金旅游线上新增的一颗璀璨的明珠。是各位摄影爱好者 必到的打卡地，也是研究地质构造、地壳运动绝好的题材。后前往库车酒店入住！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库车-库车王府-克孜尔千佛洞-阿拉尔(巴士)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早餐后，乘车前往游览【库车王府】 “库车王府”位于新疆库车市城区，是1759年清朝乾隆皇帝为表彰当地 维吾尔族首领鄂对协助平定大小和卓叛乱的功绩，专门派遣内地汉族工匠建造而成。库车王府建筑面积50000多平 方米，融维吾尔族建筑风格、 中原建筑风格、俄罗斯建筑风格为一体。踏进库车王府，就能听见近200年历史的回 声，缅怀到王公家族史的风范，体验到他们维护祖国统一，加强民族团结品德气节的主流。后前往【克孜尔千佛 洞】 是最西的大型石窟群，始凿于公元三世纪（东汉末年） ，五－七世纪为最盛期，至八世纪末逐渐停凿，延续 时间之长在世界各国也是绝无仅有的。克孜尔石窟和敦煌莫高窟同享中国“ 四大石窟 ”之美誉。但是克孜尔石窟 是全国开凿最早的石窟 ， 始建于公元3世纪，比莫高窟还要早。现存已编号的洞窟236个，其中窟形完整的135 个，尚有壁画的80个，壁画总面积1万余平方米。其风格独特之窟形和壁画，均可代表龟兹文化的水平，有很高 的研究价值。 1961年列为全国第一批重点文物保护单位。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早餐：含；午餐：含；晚餐：含；住宿：阿拉尔</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阿拉尔-359 旅-和田夜市-和田(巴士)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早餐后，乘车前往游览为纪念“西北边陲戈壁荒滩上，发扬南泥湾精神，开荒大生产”【359旅屯垦纪念馆】（周一闭馆）博物馆占地11000平方米，设八个展厅；其展陈内容以英雄的红二方面军和八路军一二O师三五 九旅革命史、新疆生产建设兵团的建设发展史为主线，通过实物、 图片、声光电多媒体、浮雕、雕塑场景等形式，详实、全面地展陈了这支部队从井冈山红军时期，到南泥湾边生产、边战斗，再到解放大西北，部队官兵在 天山南北就地转业，开荒大生产，以南泥湾精神为动力，推进各项事业蓬勃发展，四个文明建设取得辉煌成就，农业现代化建设领跑全国农业发展等方面内容；既给人回归历史的震撼，又让人了解兵团艰苦奋斗留下深刻感受，不禁对兵团精神肃然起敬。乘车穿越荒无人烟的沙漠公路（因穿行沙漠公路行程时间较长，建议客人安排一   些零食/面包/牛奶等） -被称为“死亡之海”的塔克拉玛干沙漠是中国最大的沙漠、世界第十大沙漠，同时也是仅  次于阿拉伯半岛的鲁 卜哈利沙漠的世界第二大流动沙漠，被评为“最神秘、最具有诱惑力”的【塔克拉玛干大沙    漠】（塔克拉玛干沙漠被评为中国五个最美的沙漠之一）途中安排拍照点/观光点，客人下车自由活动，可自由深  入塔克拉玛干大沙漠腹地，抵达之后可自行前往【和田夜市】（市区内） ，玉泉河公园南端的和田夜市人群熙熙   攘攘，红柳羊肉串、酸奶粽子、玫瑰烤馕、炭火烤鸽子 … …各种勾人味蕾的特色小吃令人目不暇接。和田夜市由来已 久，晚上逛夜市已成为和田人的一种生活方式。夜市里的大多数商户都是和田特色美食的传承人，这里最能体现和田人的热情好客，彰显和田的人文性格，夜市已经成为文化和旅游的一张名片，是来和田必到的“打卡地”。入住 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早餐：含；午餐：含；晚餐：含；住宿：和田</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和田-叶尔羌汉宫-喀什古城-喀什(巴士)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早餐后沿玉龙喀什河一路前行，玉龙喀什河是新疆和田地区的重要河流，发源于昆仑山慕士塔格峰西侧冰川，全长513公里，因盛产和田玉（ 白玉）闻名于世，维语意为'白玉之河'。当前因生态保护政策禁止采挖玉石， 政府加强河道管理。【叶尔羌汉宫】 一座历经沧桑却依旧风采不减的古建筑静静矗立，它就是闻名遐迩的莎车叶 尔羌汗王宫。这座王宫不仅是中国西部边陲的历史见证，更是丝绸之路文化交流的重要标志，承载着深厚的历史  文化价值。王宫的建筑风格独特，融合了汉族、蒙古族以及中亚民族的建筑艺术，展现出多元文化的交融与碰撞。 宫殿的屋顶采用了典型的汉族歇山顶，而墙壁上的装饰则带有明显的伊斯兰艺术痕迹，这种独特的混搭风格  在中国古代建筑中极为罕见。 除了王宫本身，周边的阿曼尼莎汗纪念陵也是不容错过的景点。这座陵墓与清真寺  相连，陵高22米，庄严肃穆，是伊斯兰建筑艺术的杰出代表。 陵墓内部的“木卡姆”十二套曲名镶嵌在墙上，不  仅是对音乐艺术的纪念，也是对历史人物的缅怀。乘车前往喀什市区唯一保存的古老民居集中地【喀什古城】 ， 观看开城仪式。 “不到喀什就不算到了新疆，不到古城就不算到喀什” 喀什老城是中国唯一的以伊斯兰文化为特  色的  迷宫式城市街区，历经2000多年的风霜雨雪，被誉为“最后的西域，活着的化石”。走进老城，就穿越了 时光。丝路驼铃声声，赋予生土墙间每一寸凸起与凹陷历史的轻喃，多元文化涂抹出艳丽的门框色彩与雕花墙围。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喀什-白沙湖-喀拉库勒湖-喀什(巴士)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早餐后，乘车从喀什出发沿着 314国道可欣赏维吾尔族农家田园风光，市井文化，进入峡谷时，可看到山体  一派暗红而后逐渐变得苍黑的盖孜大峡谷，随后可远眺到有南疆火焰山之称的奥依塔克红山。驱车前往白沙山白   沙河，途中过盖孜检查站，后抵达今日第一个目的地，素有流沙河之称的【白沙河】及鬼斧神工的布伦口【白沙   山】，可在此摄影拍照赏景。行进在海拔三千多米的盖孜峡谷中。 喀喇昆仑公路像一条玉带，沿着盖孜河在盖孜   峡谷中穿梭着，眼前的景色又变成了绵延不绝的荒山雪岭。正被荒山雪岭弄得有点审美疲劳的我们，被前面突然   出现的美丽湖泊给重新打起了精神。这个湖泊就是【布伦口白沙湖】体表面附着的白沙经过了数万年风化，在帕   米尔高原洁静的阳光下，闪耀着金属般的光泽。湖水在天空、 白沙和雪山的综合作用下呈现出一种别样的蓝，深   邃的蓝，非常迷人。乘车前往帕米尔高原上的【卡拉库里湖】位于“冰川之父”慕士塔格峰脚下，随着天气变幻   莫测，湖水时而碧绿柔美，时而黑褐深沉，时而银灰、湛蓝、橘红      倒映着帕米尔的地标之一——慕士塔格峰、雄伟中又带着一丝柔美静朗。 面对纯净雪山，平静心绪，回归自然，随后乘车返回酒店入住。温馨提示：? 卡湖海拔较高，请缓慢行走，以防高原反应；卡湖天气冷，请带上厚外套御寒；赴卡湖需要办边防通行证，请 带好身份证；喀什地区日落时间较晚，请注意调整作息时间；? 游览结束后前往喀什酒店入住休息。（本天高原活动心脑血管疾病及身体不佳者谨慎前往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喀什-香妃园-送火车(巴士)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早餐后去参观【香妃园】这是一座典型的伊斯兰古建筑群，也是伊斯兰教圣裔的陵墓，更有着香妃的故事，传  说埋葬在这里的霍加后裔中，有一个叫伊帕尔汗的维吾尔族女子，是乾隆皇帝的爱妃，由于她身上有一股常有的沙 枣花香，人们便称她为“香妃”。香妃死后由其嫂苏德香将其尸体护送回喀什，并葬于阿帕霍加墓内，因而人们又 将这座陵墓称做“香妃墓”。现在的香妃园将文化与娱乐相结合，是到喀什必打卡之地，相信一定会带给你别样的 记忆。而后车辆前往和田。，抵达后参观【艾提尕尔清真寺】（外观） ，这里原是征服中亚的阿拉伯大将屈底波? 伊本?穆斯林留下的伊斯兰教传教士的墓地。明正统(1436～1449)年间喀什噶尔统治者沙克色孜?米尔扎死后葬于  此，其后裔建造了一座小清真寺，即艾提尕尔清真寺之前身。这座规模宏大的伊斯兰教建筑物始建于 1442年 ，  后另经重修扩建，始具今貌。艾提尕尔，意为节日礼拜场所。为中国最大的清真寺。艾提尕大清真寺不仅是新疆   地区宗教活动的重要场所，在古代还是传播伊斯兰文化和培养人才的重要学府，天山南北以致中亚地区许多教阶   较高的伊斯兰教神职人员和学者都从这里毕业，其他还有更多的有影响的诗人、文学家、史学家和翻译家早年也   在此受过严格的学业培训。建国后，寺内一些德高望重的爱国守法宗教人士，还被各界人士推举为人民代表和政   协委员，同时又埋头著书立说，为新疆的历史与宗教研究贡献力量。也是重点文物保护单位。不仅是喀什重要的   宗教地，也是著名的观光景点。观看开始古城开城仪式，自由活动。指定时间送火车，前往吐鲁番，夜宿火车。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吐鲁番-坎儿井-火焰山-送火车(巴士)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早接火车，参观“ 中国古代三大工程之一 ”【坎儿井景区】 。坎儿井重现了交河驿千年历史脉络，主要观光景 点包括交河驿景观城、观光烽燧、交河驿展陈艺术馆、马帮、坎儿井源地上地下观光区、世界大晾房等。坎尔井在 高山雪水潜流处，寻其水源，在一定间隔打一深浅不等的竖井，然后再依地势高下在井底修通暗渠，沟通各井，引 水下流。地下管道的出水口与地面管道相连接，把地下水引至地面灌溉桑田。正是因为有了这独特的地下水利工 程——坎儿井，把地下水引向地面，灌溉盆地数十万亩良田，才孕育了吐鲁番各族人民，是使火洲变绿洲的功臣。 乘车前往游览西游记中记载的“百里火山，寸草不生”的火焰山地质公园【大火焰山景区】古称“赤石山 ”，位于 吐鲁番盆地的北缘，古丝绸之路北道。 呈东西走向。火焰山，维吾尔语称“克孜勒塔格”，意为“红山”，唐人以其炎热曾名为“火山”。        山长 100多公里，最宽处达 10公里，海拔500米左右，主峰海拔831.7米。火焰 山上童山秃岭，寸草不生，飞鸟匿踪。每当盛夏，红日当空，赤褐色的山体在烈日照射下，砂岩灼灼闪光，炽热气 流翻滚上升，就像烈焰熊熊，火舌撩天，故又名火焰山。之后前往闻名遐尔的“清凉世界 ”【葡萄庄园】（赠送景 点不去不退）这里有浓郁的维吾尔族风情，夏季葡萄架连成片。后前往当地的维吾尔族人家做客，欣赏原生态的维 吾尔族农民的舞蹈，体验维吾尔族人家民风民俗。根据乘客返程时间送团，回到温馨的家。撇下一路风尘和辛劳， 带着对新疆的美好印象，指定时间送火车，乘火车返回温馨的家，茶余饭后给亲朋好友讲述在那遥远的地方发生的 愉快、难忘、物有所值的南北疆之旅的故事。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抵达昆明(巴士)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火车途中返回昆明，结束愉快新疆之旅。温馨提示? 请提前整理好随身携带的行李、贵重物品及有效身份证件原件，以免遗漏，耽误乘车。? 针对我们的精心安排的行程和导游的服务，请留下宝贵的意见，签好意见单，不受理因虚假填写或不填意见书 而产生的后续争议和投诉，感谢各位贵宾对我们工作的支持和理解，我们会不断的完善自我，提供更优质的服 务，如果您对这次新疆之行感到满意，请介绍给您的亲朋好友，我们热烈欢迎您再次来到大美新疆，希望您一路 平安，最真挚的祝福送给您！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餐：14早30正（含升级10顿特色餐、烤全羊、九碗三行子、图瓦人家宴、特色大盘鸡、冷水鱼宴、火洲第一鸡、罗布烤鱼、喀什特色鸽子汤、手抓饭、特色拌面）（酒店早餐，正餐为团餐，餐标40元/人）当地饮食与游客饮食习惯差异较大，餐饮条件有限，尽请游客谅解并可自备些零食（方便面、榨菜等）因团队选择为团队桌餐，如游客不用餐，餐费一律不退，请见谅住：全程13晚舒适型商务酒店双标间；边疆地区宾馆条件有限，酒店设施与地区有较大差距，所以请勿以城市人心态衡量（产生单房请补单房差或房内加床）。</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2025/9/7 10:34:58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