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云南洲楞严旅行社有限公司团队/散客确认件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会泽七彩金桥/盛成兵</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盛总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秦世莲</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18082748547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ZLY15FJ250912B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9.12东北全景双飞15天（通辽版）2团</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2025-09-12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2025-09-26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19(19大)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2025-09-12 GJ8547 昆明→沈阳 15:05-20:40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2025-09-26 GJ8548 沈阳→昆明 06:40-13:0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1、许国友</w:t>
            </w:r>
          </w:p>
        </w:tc>
        <w:tc>
          <w:tcPr>
            <w:tcW w:w="2310" w:type="dxa"/>
            <w:vAlign w:val="center"/>
            <w:gridSpan w:val="2"/>
          </w:tcPr>
          <w:p>
            <w:pPr/>
            <w:r>
              <w:rPr>
                <w:lang w:val="zh-CN"/>
                <w:rFonts w:ascii="Times New Roman" w:hAnsi="Times New Roman" w:cs="Times New Roman"/>
                <w:sz w:val="20"/>
                <w:szCs w:val="20"/>
                <w:color w:val="000000"/>
              </w:rPr>
              <w:t>532233195711040399</w:t>
            </w:r>
          </w:p>
        </w:tc>
        <w:tc>
          <w:tcPr>
            <w:tcW w:w="2310" w:type="dxa"/>
            <w:vAlign w:val="center"/>
          </w:tcPr>
          <w:p>
            <w:pPr/>
            <w:r>
              <w:rPr>
                <w:lang w:val="zh-CN"/>
                <w:rFonts w:ascii="Times New Roman" w:hAnsi="Times New Roman" w:cs="Times New Roman"/>
                <w:sz w:val="20"/>
                <w:szCs w:val="20"/>
                <w:color w:val="000000"/>
              </w:rPr>
              <w:t>15924885279</w:t>
            </w:r>
          </w:p>
        </w:tc>
        <w:tc>
          <w:tcPr>
            <w:tcW w:w="2310" w:type="dxa"/>
            <w:vAlign w:val="center"/>
          </w:tcPr>
          <w:p>
            <w:pPr/>
            <w:r>
              <w:rPr>
                <w:lang w:val="zh-CN"/>
                <w:rFonts w:ascii="Times New Roman" w:hAnsi="Times New Roman" w:cs="Times New Roman"/>
                <w:sz w:val="20"/>
                <w:szCs w:val="20"/>
                <w:color w:val="000000"/>
              </w:rPr>
              <w:t>2、王大才</w:t>
            </w:r>
          </w:p>
        </w:tc>
        <w:tc>
          <w:tcPr>
            <w:tcW w:w="2310" w:type="dxa"/>
            <w:vAlign w:val="center"/>
            <w:gridSpan w:val="2"/>
          </w:tcPr>
          <w:p>
            <w:pPr/>
            <w:r>
              <w:rPr>
                <w:lang w:val="zh-CN"/>
                <w:rFonts w:ascii="Times New Roman" w:hAnsi="Times New Roman" w:cs="Times New Roman"/>
                <w:sz w:val="20"/>
                <w:szCs w:val="20"/>
                <w:color w:val="000000"/>
              </w:rPr>
              <w:t>532233195709104613</w:t>
            </w:r>
          </w:p>
        </w:tc>
        <w:tc>
          <w:tcPr>
            <w:tcW w:w="2310" w:type="dxa"/>
            <w:vAlign w:val="center"/>
          </w:tcPr>
          <w:p>
            <w:pPr/>
            <w:r>
              <w:rPr>
                <w:lang w:val="zh-CN"/>
                <w:rFonts w:ascii="Times New Roman" w:hAnsi="Times New Roman" w:cs="Times New Roman"/>
                <w:sz w:val="20"/>
                <w:szCs w:val="20"/>
                <w:color w:val="000000"/>
              </w:rPr>
              <w:t>13987415507</w:t>
            </w:r>
          </w:p>
        </w:tc>
      </w:tr>
      <w:tr>
        <w:tc>
          <w:tcPr>
            <w:tcW w:w="2310" w:type="dxa"/>
            <w:vAlign w:val="center"/>
          </w:tcPr>
          <w:p>
            <w:pPr/>
            <w:r>
              <w:rPr>
                <w:lang w:val="zh-CN"/>
                <w:rFonts w:ascii="Times New Roman" w:hAnsi="Times New Roman" w:cs="Times New Roman"/>
                <w:sz w:val="20"/>
                <w:szCs w:val="20"/>
                <w:color w:val="000000"/>
              </w:rPr>
              <w:t>3、李寿敏</w:t>
            </w:r>
          </w:p>
        </w:tc>
        <w:tc>
          <w:tcPr>
            <w:tcW w:w="2310" w:type="dxa"/>
            <w:vAlign w:val="center"/>
            <w:gridSpan w:val="2"/>
          </w:tcPr>
          <w:p>
            <w:pPr/>
            <w:r>
              <w:rPr>
                <w:lang w:val="zh-CN"/>
                <w:rFonts w:ascii="Times New Roman" w:hAnsi="Times New Roman" w:cs="Times New Roman"/>
                <w:sz w:val="20"/>
                <w:szCs w:val="20"/>
                <w:color w:val="000000"/>
              </w:rPr>
              <w:t>532233196207211712</w:t>
            </w:r>
          </w:p>
        </w:tc>
        <w:tc>
          <w:tcPr>
            <w:tcW w:w="2310" w:type="dxa"/>
            <w:vAlign w:val="center"/>
          </w:tcPr>
          <w:p>
            <w:pPr/>
            <w:r>
              <w:rPr>
                <w:lang w:val="zh-CN"/>
                <w:rFonts w:ascii="Times New Roman" w:hAnsi="Times New Roman" w:cs="Times New Roman"/>
                <w:sz w:val="20"/>
                <w:szCs w:val="20"/>
                <w:color w:val="000000"/>
              </w:rPr>
              <w:t>13988999566</w:t>
            </w:r>
          </w:p>
        </w:tc>
        <w:tc>
          <w:tcPr>
            <w:tcW w:w="2310" w:type="dxa"/>
            <w:vAlign w:val="center"/>
          </w:tcPr>
          <w:p>
            <w:pPr/>
            <w:r>
              <w:rPr>
                <w:lang w:val="zh-CN"/>
                <w:rFonts w:ascii="Times New Roman" w:hAnsi="Times New Roman" w:cs="Times New Roman"/>
                <w:sz w:val="20"/>
                <w:szCs w:val="20"/>
                <w:color w:val="000000"/>
              </w:rPr>
              <w:t>4、王琼芬</w:t>
            </w:r>
          </w:p>
        </w:tc>
        <w:tc>
          <w:tcPr>
            <w:tcW w:w="2310" w:type="dxa"/>
            <w:vAlign w:val="center"/>
            <w:gridSpan w:val="2"/>
          </w:tcPr>
          <w:p>
            <w:pPr/>
            <w:r>
              <w:rPr>
                <w:lang w:val="zh-CN"/>
                <w:rFonts w:ascii="Times New Roman" w:hAnsi="Times New Roman" w:cs="Times New Roman"/>
                <w:sz w:val="20"/>
                <w:szCs w:val="20"/>
                <w:color w:val="000000"/>
              </w:rPr>
              <w:t>530200196405060346</w:t>
            </w:r>
          </w:p>
        </w:tc>
        <w:tc>
          <w:tcPr>
            <w:tcW w:w="2310" w:type="dxa"/>
            <w:vAlign w:val="center"/>
          </w:tcPr>
          <w:p>
            <w:pPr/>
            <w:r>
              <w:rPr>
                <w:lang w:val="zh-CN"/>
                <w:rFonts w:ascii="Times New Roman" w:hAnsi="Times New Roman" w:cs="Times New Roman"/>
                <w:sz w:val="20"/>
                <w:szCs w:val="20"/>
                <w:color w:val="000000"/>
              </w:rPr>
              <w:t>13987415938</w:t>
            </w:r>
          </w:p>
        </w:tc>
      </w:tr>
      <w:tr>
        <w:tc>
          <w:tcPr>
            <w:tcW w:w="2310" w:type="dxa"/>
            <w:vAlign w:val="center"/>
          </w:tcPr>
          <w:p>
            <w:pPr/>
            <w:r>
              <w:rPr>
                <w:lang w:val="zh-CN"/>
                <w:rFonts w:ascii="Times New Roman" w:hAnsi="Times New Roman" w:cs="Times New Roman"/>
                <w:sz w:val="20"/>
                <w:szCs w:val="20"/>
                <w:color w:val="000000"/>
              </w:rPr>
              <w:t>5、薛升龙</w:t>
            </w:r>
          </w:p>
        </w:tc>
        <w:tc>
          <w:tcPr>
            <w:tcW w:w="2310" w:type="dxa"/>
            <w:vAlign w:val="center"/>
            <w:gridSpan w:val="2"/>
          </w:tcPr>
          <w:p>
            <w:pPr/>
            <w:r>
              <w:rPr>
                <w:lang w:val="zh-CN"/>
                <w:rFonts w:ascii="Times New Roman" w:hAnsi="Times New Roman" w:cs="Times New Roman"/>
                <w:sz w:val="20"/>
                <w:szCs w:val="20"/>
                <w:color w:val="000000"/>
              </w:rPr>
              <w:t>53223319640507291X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6、安丽华</w:t>
            </w:r>
          </w:p>
        </w:tc>
        <w:tc>
          <w:tcPr>
            <w:tcW w:w="2310" w:type="dxa"/>
            <w:vAlign w:val="center"/>
            <w:gridSpan w:val="2"/>
          </w:tcPr>
          <w:p>
            <w:pPr/>
            <w:r>
              <w:rPr>
                <w:lang w:val="zh-CN"/>
                <w:rFonts w:ascii="Times New Roman" w:hAnsi="Times New Roman" w:cs="Times New Roman"/>
                <w:sz w:val="20"/>
                <w:szCs w:val="20"/>
                <w:color w:val="000000"/>
              </w:rPr>
              <w:t>532233196712164929</w:t>
            </w:r>
          </w:p>
        </w:tc>
        <w:tc>
          <w:tcPr>
            <w:tcW w:w="2310" w:type="dxa"/>
            <w:vAlign w:val="center"/>
          </w:tcPr>
          <w:p>
            <w:pPr/>
            <w:r>
              <w:rPr>
                <w:lang w:val="zh-CN"/>
                <w:rFonts w:ascii="Times New Roman" w:hAnsi="Times New Roman" w:cs="Times New Roman"/>
                <w:sz w:val="20"/>
                <w:szCs w:val="20"/>
                <w:color w:val="000000"/>
              </w:rPr>
              <w:t>13378742633</w:t>
            </w:r>
          </w:p>
        </w:tc>
      </w:tr>
      <w:tr>
        <w:tc>
          <w:tcPr>
            <w:tcW w:w="2310" w:type="dxa"/>
            <w:vAlign w:val="center"/>
          </w:tcPr>
          <w:p>
            <w:pPr/>
            <w:r>
              <w:rPr>
                <w:lang w:val="zh-CN"/>
                <w:rFonts w:ascii="Times New Roman" w:hAnsi="Times New Roman" w:cs="Times New Roman"/>
                <w:sz w:val="20"/>
                <w:szCs w:val="20"/>
                <w:color w:val="000000"/>
              </w:rPr>
              <w:t>7、王崇美</w:t>
            </w:r>
          </w:p>
        </w:tc>
        <w:tc>
          <w:tcPr>
            <w:tcW w:w="2310" w:type="dxa"/>
            <w:vAlign w:val="center"/>
            <w:gridSpan w:val="2"/>
          </w:tcPr>
          <w:p>
            <w:pPr/>
            <w:r>
              <w:rPr>
                <w:lang w:val="zh-CN"/>
                <w:rFonts w:ascii="Times New Roman" w:hAnsi="Times New Roman" w:cs="Times New Roman"/>
                <w:sz w:val="20"/>
                <w:szCs w:val="20"/>
                <w:color w:val="000000"/>
              </w:rPr>
              <w:t>532233196205153408</w:t>
            </w:r>
          </w:p>
        </w:tc>
        <w:tc>
          <w:tcPr>
            <w:tcW w:w="2310" w:type="dxa"/>
            <w:vAlign w:val="center"/>
          </w:tcPr>
          <w:p>
            <w:pPr/>
            <w:r>
              <w:rPr>
                <w:lang w:val="zh-CN"/>
                <w:rFonts w:ascii="Times New Roman" w:hAnsi="Times New Roman" w:cs="Times New Roman"/>
                <w:sz w:val="20"/>
                <w:szCs w:val="20"/>
                <w:color w:val="000000"/>
              </w:rPr>
              <w:t>18287426851</w:t>
            </w:r>
          </w:p>
        </w:tc>
        <w:tc>
          <w:tcPr>
            <w:tcW w:w="2310" w:type="dxa"/>
            <w:vAlign w:val="center"/>
          </w:tcPr>
          <w:p>
            <w:pPr/>
            <w:r>
              <w:rPr>
                <w:lang w:val="zh-CN"/>
                <w:rFonts w:ascii="Times New Roman" w:hAnsi="Times New Roman" w:cs="Times New Roman"/>
                <w:sz w:val="20"/>
                <w:szCs w:val="20"/>
                <w:color w:val="000000"/>
              </w:rPr>
              <w:t>8、龙白清</w:t>
            </w:r>
          </w:p>
        </w:tc>
        <w:tc>
          <w:tcPr>
            <w:tcW w:w="2310" w:type="dxa"/>
            <w:vAlign w:val="center"/>
            <w:gridSpan w:val="2"/>
          </w:tcPr>
          <w:p>
            <w:pPr/>
            <w:r>
              <w:rPr>
                <w:lang w:val="zh-CN"/>
                <w:rFonts w:ascii="Times New Roman" w:hAnsi="Times New Roman" w:cs="Times New Roman"/>
                <w:sz w:val="20"/>
                <w:szCs w:val="20"/>
                <w:color w:val="000000"/>
              </w:rPr>
              <w:t>532233196202130833</w:t>
            </w:r>
          </w:p>
        </w:tc>
        <w:tc>
          <w:tcPr>
            <w:tcW w:w="2310" w:type="dxa"/>
            <w:vAlign w:val="center"/>
          </w:tcPr>
          <w:p>
            <w:pPr/>
            <w:r>
              <w:rPr>
                <w:lang w:val="zh-CN"/>
                <w:rFonts w:ascii="Times New Roman" w:hAnsi="Times New Roman" w:cs="Times New Roman"/>
                <w:sz w:val="20"/>
                <w:szCs w:val="20"/>
                <w:color w:val="000000"/>
              </w:rPr>
              <w:t>13769787866</w:t>
            </w:r>
          </w:p>
        </w:tc>
      </w:tr>
      <w:tr>
        <w:tc>
          <w:tcPr>
            <w:tcW w:w="2310" w:type="dxa"/>
            <w:vAlign w:val="center"/>
          </w:tcPr>
          <w:p>
            <w:pPr/>
            <w:r>
              <w:rPr>
                <w:lang w:val="zh-CN"/>
                <w:rFonts w:ascii="Times New Roman" w:hAnsi="Times New Roman" w:cs="Times New Roman"/>
                <w:sz w:val="20"/>
                <w:szCs w:val="20"/>
                <w:color w:val="000000"/>
              </w:rPr>
              <w:t>9、赵萍</w:t>
            </w:r>
          </w:p>
        </w:tc>
        <w:tc>
          <w:tcPr>
            <w:tcW w:w="2310" w:type="dxa"/>
            <w:vAlign w:val="center"/>
            <w:gridSpan w:val="2"/>
          </w:tcPr>
          <w:p>
            <w:pPr/>
            <w:r>
              <w:rPr>
                <w:lang w:val="zh-CN"/>
                <w:rFonts w:ascii="Times New Roman" w:hAnsi="Times New Roman" w:cs="Times New Roman"/>
                <w:sz w:val="20"/>
                <w:szCs w:val="20"/>
                <w:color w:val="000000"/>
              </w:rPr>
              <w:t>532233196205150821</w:t>
            </w:r>
          </w:p>
        </w:tc>
        <w:tc>
          <w:tcPr>
            <w:tcW w:w="2310" w:type="dxa"/>
            <w:vAlign w:val="center"/>
          </w:tcPr>
          <w:p>
            <w:pPr/>
            <w:r>
              <w:rPr>
                <w:lang w:val="zh-CN"/>
                <w:rFonts w:ascii="Times New Roman" w:hAnsi="Times New Roman" w:cs="Times New Roman"/>
                <w:sz w:val="20"/>
                <w:szCs w:val="20"/>
                <w:color w:val="000000"/>
              </w:rPr>
              <w:t>13769787866</w:t>
            </w:r>
          </w:p>
        </w:tc>
        <w:tc>
          <w:tcPr>
            <w:tcW w:w="2310" w:type="dxa"/>
            <w:vAlign w:val="center"/>
          </w:tcPr>
          <w:p>
            <w:pPr/>
            <w:r>
              <w:rPr>
                <w:lang w:val="zh-CN"/>
                <w:rFonts w:ascii="Times New Roman" w:hAnsi="Times New Roman" w:cs="Times New Roman"/>
                <w:sz w:val="20"/>
                <w:szCs w:val="20"/>
                <w:color w:val="000000"/>
              </w:rPr>
              <w:t>10、杨庆碧</w:t>
            </w:r>
          </w:p>
        </w:tc>
        <w:tc>
          <w:tcPr>
            <w:tcW w:w="2310" w:type="dxa"/>
            <w:vAlign w:val="center"/>
            <w:gridSpan w:val="2"/>
          </w:tcPr>
          <w:p>
            <w:pPr/>
            <w:r>
              <w:rPr>
                <w:lang w:val="zh-CN"/>
                <w:rFonts w:ascii="Times New Roman" w:hAnsi="Times New Roman" w:cs="Times New Roman"/>
                <w:sz w:val="20"/>
                <w:szCs w:val="20"/>
                <w:color w:val="000000"/>
              </w:rPr>
              <w:t>532233195910020016</w:t>
            </w:r>
          </w:p>
        </w:tc>
        <w:tc>
          <w:tcPr>
            <w:tcW w:w="2310" w:type="dxa"/>
            <w:vAlign w:val="center"/>
          </w:tcPr>
          <w:p>
            <w:pPr/>
            <w:r>
              <w:rPr>
                <w:lang w:val="zh-CN"/>
                <w:rFonts w:ascii="Times New Roman" w:hAnsi="Times New Roman" w:cs="Times New Roman"/>
                <w:sz w:val="20"/>
                <w:szCs w:val="20"/>
                <w:color w:val="000000"/>
              </w:rPr>
              <w:t>15331590577</w:t>
            </w:r>
          </w:p>
        </w:tc>
      </w:tr>
      <w:tr>
        <w:tc>
          <w:tcPr>
            <w:tcW w:w="2310" w:type="dxa"/>
            <w:vAlign w:val="center"/>
          </w:tcPr>
          <w:p>
            <w:pPr/>
            <w:r>
              <w:rPr>
                <w:lang w:val="zh-CN"/>
                <w:rFonts w:ascii="Times New Roman" w:hAnsi="Times New Roman" w:cs="Times New Roman"/>
                <w:sz w:val="20"/>
                <w:szCs w:val="20"/>
                <w:color w:val="000000"/>
              </w:rPr>
              <w:t>11、李光芬</w:t>
            </w:r>
          </w:p>
        </w:tc>
        <w:tc>
          <w:tcPr>
            <w:tcW w:w="2310" w:type="dxa"/>
            <w:vAlign w:val="center"/>
            <w:gridSpan w:val="2"/>
          </w:tcPr>
          <w:p>
            <w:pPr/>
            <w:r>
              <w:rPr>
                <w:lang w:val="zh-CN"/>
                <w:rFonts w:ascii="Times New Roman" w:hAnsi="Times New Roman" w:cs="Times New Roman"/>
                <w:sz w:val="20"/>
                <w:szCs w:val="20"/>
                <w:color w:val="000000"/>
              </w:rPr>
              <w:t>532233196203120821</w:t>
            </w:r>
          </w:p>
        </w:tc>
        <w:tc>
          <w:tcPr>
            <w:tcW w:w="2310" w:type="dxa"/>
            <w:vAlign w:val="center"/>
          </w:tcPr>
          <w:p>
            <w:pPr/>
            <w:r>
              <w:rPr>
                <w:lang w:val="zh-CN"/>
                <w:rFonts w:ascii="Times New Roman" w:hAnsi="Times New Roman" w:cs="Times New Roman"/>
                <w:sz w:val="20"/>
                <w:szCs w:val="20"/>
                <w:color w:val="000000"/>
              </w:rPr>
              <w:t>13769584588</w:t>
            </w:r>
          </w:p>
        </w:tc>
        <w:tc>
          <w:tcPr>
            <w:tcW w:w="2310" w:type="dxa"/>
            <w:vAlign w:val="center"/>
          </w:tcPr>
          <w:p>
            <w:pPr/>
            <w:r>
              <w:rPr>
                <w:lang w:val="zh-CN"/>
                <w:rFonts w:ascii="Times New Roman" w:hAnsi="Times New Roman" w:cs="Times New Roman"/>
                <w:sz w:val="20"/>
                <w:szCs w:val="20"/>
                <w:color w:val="000000"/>
              </w:rPr>
              <w:t>12、王玉珍</w:t>
            </w:r>
          </w:p>
        </w:tc>
        <w:tc>
          <w:tcPr>
            <w:tcW w:w="2310" w:type="dxa"/>
            <w:vAlign w:val="center"/>
            <w:gridSpan w:val="2"/>
          </w:tcPr>
          <w:p>
            <w:pPr/>
            <w:r>
              <w:rPr>
                <w:lang w:val="zh-CN"/>
                <w:rFonts w:ascii="Times New Roman" w:hAnsi="Times New Roman" w:cs="Times New Roman"/>
                <w:sz w:val="20"/>
                <w:szCs w:val="20"/>
                <w:color w:val="000000"/>
              </w:rPr>
              <w:t>532233195105110828</w:t>
            </w:r>
          </w:p>
        </w:tc>
        <w:tc>
          <w:tcPr>
            <w:tcW w:w="2310" w:type="dxa"/>
            <w:vAlign w:val="center"/>
          </w:tcPr>
          <w:p>
            <w:pPr/>
            <w:r>
              <w:rPr>
                <w:lang w:val="zh-CN"/>
                <w:rFonts w:ascii="Times New Roman" w:hAnsi="Times New Roman" w:cs="Times New Roman"/>
                <w:sz w:val="20"/>
                <w:szCs w:val="20"/>
                <w:color w:val="000000"/>
              </w:rPr>
              <w:t>13577475691</w:t>
            </w:r>
          </w:p>
        </w:tc>
      </w:tr>
      <w:tr>
        <w:tc>
          <w:tcPr>
            <w:tcW w:w="2310" w:type="dxa"/>
            <w:vAlign w:val="center"/>
          </w:tcPr>
          <w:p>
            <w:pPr/>
            <w:r>
              <w:rPr>
                <w:lang w:val="zh-CN"/>
                <w:rFonts w:ascii="Times New Roman" w:hAnsi="Times New Roman" w:cs="Times New Roman"/>
                <w:sz w:val="20"/>
                <w:szCs w:val="20"/>
                <w:color w:val="000000"/>
              </w:rPr>
              <w:t>13、李守义</w:t>
            </w:r>
          </w:p>
        </w:tc>
        <w:tc>
          <w:tcPr>
            <w:tcW w:w="2310" w:type="dxa"/>
            <w:vAlign w:val="center"/>
            <w:gridSpan w:val="2"/>
          </w:tcPr>
          <w:p>
            <w:pPr/>
            <w:r>
              <w:rPr>
                <w:lang w:val="zh-CN"/>
                <w:rFonts w:ascii="Times New Roman" w:hAnsi="Times New Roman" w:cs="Times New Roman"/>
                <w:sz w:val="20"/>
                <w:szCs w:val="20"/>
                <w:color w:val="000000"/>
              </w:rPr>
              <w:t>532233196209210019</w:t>
            </w:r>
          </w:p>
        </w:tc>
        <w:tc>
          <w:tcPr>
            <w:tcW w:w="2310" w:type="dxa"/>
            <w:vAlign w:val="center"/>
          </w:tcPr>
          <w:p>
            <w:pPr/>
            <w:r>
              <w:rPr>
                <w:lang w:val="zh-CN"/>
                <w:rFonts w:ascii="Times New Roman" w:hAnsi="Times New Roman" w:cs="Times New Roman"/>
                <w:sz w:val="20"/>
                <w:szCs w:val="20"/>
                <w:color w:val="000000"/>
              </w:rPr>
              <w:t>13887451786</w:t>
            </w:r>
          </w:p>
        </w:tc>
        <w:tc>
          <w:tcPr>
            <w:tcW w:w="2310" w:type="dxa"/>
            <w:vAlign w:val="center"/>
          </w:tcPr>
          <w:p>
            <w:pPr/>
            <w:r>
              <w:rPr>
                <w:lang w:val="zh-CN"/>
                <w:rFonts w:ascii="Times New Roman" w:hAnsi="Times New Roman" w:cs="Times New Roman"/>
                <w:sz w:val="20"/>
                <w:szCs w:val="20"/>
                <w:color w:val="000000"/>
              </w:rPr>
              <w:t>14、高荣琼</w:t>
            </w:r>
          </w:p>
        </w:tc>
        <w:tc>
          <w:tcPr>
            <w:tcW w:w="2310" w:type="dxa"/>
            <w:vAlign w:val="center"/>
            <w:gridSpan w:val="2"/>
          </w:tcPr>
          <w:p>
            <w:pPr/>
            <w:r>
              <w:rPr>
                <w:lang w:val="zh-CN"/>
                <w:rFonts w:ascii="Times New Roman" w:hAnsi="Times New Roman" w:cs="Times New Roman"/>
                <w:sz w:val="20"/>
                <w:szCs w:val="20"/>
                <w:color w:val="000000"/>
              </w:rPr>
              <w:t>532233196902240048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15、周开顺</w:t>
            </w:r>
          </w:p>
        </w:tc>
        <w:tc>
          <w:tcPr>
            <w:tcW w:w="2310" w:type="dxa"/>
            <w:vAlign w:val="center"/>
            <w:gridSpan w:val="2"/>
          </w:tcPr>
          <w:p>
            <w:pPr/>
            <w:r>
              <w:rPr>
                <w:lang w:val="zh-CN"/>
                <w:rFonts w:ascii="Times New Roman" w:hAnsi="Times New Roman" w:cs="Times New Roman"/>
                <w:sz w:val="20"/>
                <w:szCs w:val="20"/>
                <w:color w:val="000000"/>
              </w:rPr>
              <w:t>532233195701064653</w:t>
            </w:r>
          </w:p>
        </w:tc>
        <w:tc>
          <w:tcPr>
            <w:tcW w:w="2310" w:type="dxa"/>
            <w:vAlign w:val="center"/>
          </w:tcPr>
          <w:p>
            <w:pPr/>
            <w:r>
              <w:rPr>
                <w:lang w:val="zh-CN"/>
                <w:rFonts w:ascii="Times New Roman" w:hAnsi="Times New Roman" w:cs="Times New Roman"/>
                <w:sz w:val="20"/>
                <w:szCs w:val="20"/>
                <w:color w:val="000000"/>
              </w:rPr>
              <w:t>18388528568</w:t>
            </w:r>
          </w:p>
        </w:tc>
        <w:tc>
          <w:tcPr>
            <w:tcW w:w="2310" w:type="dxa"/>
            <w:vAlign w:val="center"/>
          </w:tcPr>
          <w:p>
            <w:pPr/>
            <w:r>
              <w:rPr>
                <w:lang w:val="zh-CN"/>
                <w:rFonts w:ascii="Times New Roman" w:hAnsi="Times New Roman" w:cs="Times New Roman"/>
                <w:sz w:val="20"/>
                <w:szCs w:val="20"/>
                <w:color w:val="000000"/>
              </w:rPr>
              <w:t>16、王琼仙</w:t>
            </w:r>
          </w:p>
        </w:tc>
        <w:tc>
          <w:tcPr>
            <w:tcW w:w="2310" w:type="dxa"/>
            <w:vAlign w:val="center"/>
            <w:gridSpan w:val="2"/>
          </w:tcPr>
          <w:p>
            <w:pPr/>
            <w:r>
              <w:rPr>
                <w:lang w:val="zh-CN"/>
                <w:rFonts w:ascii="Times New Roman" w:hAnsi="Times New Roman" w:cs="Times New Roman"/>
                <w:sz w:val="20"/>
                <w:szCs w:val="20"/>
                <w:color w:val="000000"/>
              </w:rPr>
              <w:t>532231195901172525</w:t>
            </w:r>
          </w:p>
        </w:tc>
        <w:tc>
          <w:tcPr>
            <w:tcW w:w="2310" w:type="dxa"/>
            <w:vAlign w:val="center"/>
          </w:tcPr>
          <w:p>
            <w:pPr/>
            <w:r>
              <w:rPr>
                <w:lang w:val="zh-CN"/>
                <w:rFonts w:ascii="Times New Roman" w:hAnsi="Times New Roman" w:cs="Times New Roman"/>
                <w:sz w:val="20"/>
                <w:szCs w:val="20"/>
                <w:color w:val="000000"/>
              </w:rPr>
              <w:t>15969554855</w:t>
            </w:r>
          </w:p>
        </w:tc>
      </w:tr>
      <w:tr>
        <w:tc>
          <w:tcPr>
            <w:tcW w:w="2310" w:type="dxa"/>
            <w:vAlign w:val="center"/>
          </w:tcPr>
          <w:p>
            <w:pPr/>
            <w:r>
              <w:rPr>
                <w:lang w:val="zh-CN"/>
                <w:rFonts w:ascii="Times New Roman" w:hAnsi="Times New Roman" w:cs="Times New Roman"/>
                <w:sz w:val="20"/>
                <w:szCs w:val="20"/>
                <w:color w:val="000000"/>
              </w:rPr>
              <w:t>17、杨顺芬</w:t>
            </w:r>
          </w:p>
        </w:tc>
        <w:tc>
          <w:tcPr>
            <w:tcW w:w="2310" w:type="dxa"/>
            <w:vAlign w:val="center"/>
            <w:gridSpan w:val="2"/>
          </w:tcPr>
          <w:p>
            <w:pPr/>
            <w:r>
              <w:rPr>
                <w:lang w:val="zh-CN"/>
                <w:rFonts w:ascii="Times New Roman" w:hAnsi="Times New Roman" w:cs="Times New Roman"/>
                <w:sz w:val="20"/>
                <w:szCs w:val="20"/>
                <w:color w:val="000000"/>
              </w:rPr>
              <w:t>532233195210194621</w:t>
            </w:r>
          </w:p>
        </w:tc>
        <w:tc>
          <w:tcPr>
            <w:tcW w:w="2310" w:type="dxa"/>
            <w:vAlign w:val="center"/>
          </w:tcPr>
          <w:p>
            <w:pPr/>
            <w:r>
              <w:rPr>
                <w:lang w:val="zh-CN"/>
                <w:rFonts w:ascii="Times New Roman" w:hAnsi="Times New Roman" w:cs="Times New Roman"/>
                <w:sz w:val="20"/>
                <w:szCs w:val="20"/>
                <w:color w:val="000000"/>
              </w:rPr>
              <w:t>18182913616</w:t>
            </w:r>
          </w:p>
        </w:tc>
        <w:tc>
          <w:tcPr>
            <w:tcW w:w="2310" w:type="dxa"/>
            <w:vAlign w:val="center"/>
          </w:tcPr>
          <w:p>
            <w:pPr/>
            <w:r>
              <w:rPr>
                <w:lang w:val="zh-CN"/>
                <w:rFonts w:ascii="Times New Roman" w:hAnsi="Times New Roman" w:cs="Times New Roman"/>
                <w:sz w:val="20"/>
                <w:szCs w:val="20"/>
                <w:color w:val="000000"/>
              </w:rPr>
              <w:t>18、何荣盛</w:t>
            </w:r>
          </w:p>
        </w:tc>
        <w:tc>
          <w:tcPr>
            <w:tcW w:w="2310" w:type="dxa"/>
            <w:vAlign w:val="center"/>
            <w:gridSpan w:val="2"/>
          </w:tcPr>
          <w:p>
            <w:pPr/>
            <w:r>
              <w:rPr>
                <w:lang w:val="zh-CN"/>
                <w:rFonts w:ascii="Times New Roman" w:hAnsi="Times New Roman" w:cs="Times New Roman"/>
                <w:sz w:val="20"/>
                <w:szCs w:val="20"/>
                <w:color w:val="000000"/>
              </w:rPr>
              <w:t>532233196406114931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19、唐云芬</w:t>
            </w:r>
          </w:p>
        </w:tc>
        <w:tc>
          <w:tcPr>
            <w:tcW w:w="2310" w:type="dxa"/>
            <w:vAlign w:val="center"/>
            <w:gridSpan w:val="2"/>
          </w:tcPr>
          <w:p>
            <w:pPr/>
            <w:r>
              <w:rPr>
                <w:lang w:val="zh-CN"/>
                <w:rFonts w:ascii="Times New Roman" w:hAnsi="Times New Roman" w:cs="Times New Roman"/>
                <w:sz w:val="20"/>
                <w:szCs w:val="20"/>
                <w:color w:val="000000"/>
              </w:rPr>
              <w:t>532233195506150045</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19</w:t>
            </w:r>
          </w:p>
        </w:tc>
        <w:tc>
          <w:tcPr>
            <w:tcW w:w="2310" w:type="dxa"/>
          </w:tcPr>
          <w:p>
            <w:pPr/>
            <w:r>
              <w:rPr>
                <w:lang w:val="zh-CN"/>
                <w:rFonts w:ascii="Times New Roman" w:hAnsi="Times New Roman" w:cs="Times New Roman"/>
                <w:sz w:val="20"/>
                <w:szCs w:val="20"/>
                <w:color w:val="000000"/>
              </w:rPr>
              <w:t>5530.00</w:t>
            </w:r>
          </w:p>
        </w:tc>
        <w:tc>
          <w:tcPr>
            <w:tcW w:w="2310" w:type="dxa"/>
          </w:tcPr>
          <w:p>
            <w:pPr/>
            <w:r>
              <w:rPr>
                <w:lang w:val="zh-CN"/>
                <w:rFonts w:ascii="Times New Roman" w:hAnsi="Times New Roman" w:cs="Times New Roman"/>
                <w:sz w:val="20"/>
                <w:szCs w:val="20"/>
                <w:color w:val="000000"/>
              </w:rPr>
              <w:t>105070.00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按排中央大街室内冰雕</w:t>
            </w:r>
          </w:p>
        </w:tc>
        <w:tc>
          <w:tcPr>
            <w:tcW w:w="2310" w:type="dxa"/>
          </w:tcPr>
          <w:p>
            <w:pPr/>
            <w:r>
              <w:rPr>
                <w:lang w:val="zh-CN"/>
                <w:rFonts w:ascii="Times New Roman" w:hAnsi="Times New Roman" w:cs="Times New Roman"/>
                <w:sz w:val="20"/>
                <w:szCs w:val="20"/>
                <w:color w:val="000000"/>
              </w:rPr>
              <w:t>19</w:t>
            </w:r>
          </w:p>
        </w:tc>
        <w:tc>
          <w:tcPr>
            <w:tcW w:w="2310" w:type="dxa"/>
          </w:tcPr>
          <w:p>
            <w:pPr/>
            <w:r>
              <w:rPr>
                <w:lang w:val="zh-CN"/>
                <w:rFonts w:ascii="Times New Roman" w:hAnsi="Times New Roman" w:cs="Times New Roman"/>
                <w:sz w:val="20"/>
                <w:szCs w:val="20"/>
                <w:color w:val="000000"/>
              </w:rPr>
              <w:t>100.00</w:t>
            </w:r>
          </w:p>
        </w:tc>
        <w:tc>
          <w:tcPr>
            <w:tcW w:w="2310" w:type="dxa"/>
          </w:tcPr>
          <w:p>
            <w:pPr/>
            <w:r>
              <w:rPr>
                <w:lang w:val="zh-CN"/>
                <w:rFonts w:ascii="Times New Roman" w:hAnsi="Times New Roman" w:cs="Times New Roman"/>
                <w:sz w:val="20"/>
                <w:szCs w:val="20"/>
                <w:color w:val="000000"/>
              </w:rPr>
              <w:t>1900.00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总金额：壹拾万零陆仟玖佰柒拾元整</w:t>
            </w:r>
          </w:p>
        </w:tc>
        <w:tc>
          <w:tcPr>
            <w:tcW w:w="2310" w:type="dxa"/>
            <w:textDirection w:val="right"/>
            <w:gridSpan w:val="3"/>
          </w:tcPr>
          <w:p>
            <w:pPr/>
            <w:r>
              <w:rPr>
                <w:lang w:val="zh-CN"/>
                <w:rFonts w:ascii="Times New Roman" w:hAnsi="Times New Roman" w:cs="Times New Roman"/>
                <w:b/>
                <w:color w:val="FF0000"/>
              </w:rPr>
              <w:t>106970.00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2025/09/12</w:t>
            </w:r>
          </w:p>
        </w:tc>
        <w:tc>
          <w:tcPr>
            <w:tcW w:w="2310" w:type="dxa"/>
            <w:gridSpan w:val="7"/>
          </w:tcPr>
          <w:p>
            <w:pPr/>
            <w:r>
              <w:rPr>
                <w:lang w:val="zh-CN"/>
                <w:rFonts w:ascii="Times New Roman" w:hAnsi="Times New Roman" w:cs="Times New Roman"/>
                <w:b/>
                <w:color w:val="000000"/>
              </w:rPr>
              <w:t>昆明前往沈阳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机前往沈阳，抵达沈阳后接机入住酒店。1、抵达后我社将派工作人员接站然后送入酒店（我社免费提供接送服务，不用不退）报名字办理入住，2、抵达酒店，办理入住手续，适应东北气候！酒店：沈阳当地新装修准三酒店 温馨提示：1、抵达后请保持手机开机并注意短信、接听；客服将在抵达提前一天与您联系，接站工作人员已等候接站2、此日无行程安排，不含餐、导游服务；到达酒店后请根据时间自行安排活动。3、导游将在21：00前与您联系第二天集合时间及早餐时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早餐：不含；午餐：不含；晚餐：不含；住宿：沈阳</w:t>
            </w:r>
          </w:p>
        </w:tc>
      </w:tr>
      <w:tr>
        <w:tc>
          <w:tcPr>
            <w:tcW w:w="2310" w:type="dxa"/>
            <w:vAlign w:val="center"/>
            <w:vMerge w:val="restart"/>
          </w:tcPr>
          <w:p>
            <w:pPr/>
            <w:r>
              <w:rPr>
                <w:lang w:val="zh-CN"/>
                <w:rFonts w:ascii="Times New Roman" w:hAnsi="Times New Roman" w:cs="Times New Roman"/>
                <w:sz w:val="20"/>
                <w:szCs w:val="20"/>
                <w:color w:val="000000"/>
              </w:rPr>
              <w:t>2025/09/13</w:t>
            </w:r>
          </w:p>
        </w:tc>
        <w:tc>
          <w:tcPr>
            <w:tcW w:w="2310" w:type="dxa"/>
            <w:gridSpan w:val="7"/>
          </w:tcPr>
          <w:p>
            <w:pPr/>
            <w:r>
              <w:rPr>
                <w:lang w:val="zh-CN"/>
                <w:rFonts w:ascii="Times New Roman" w:hAnsi="Times New Roman" w:cs="Times New Roman"/>
                <w:b/>
                <w:color w:val="000000"/>
              </w:rPr>
              <w:t>沈阳-塔敏查干沙漠 250km 约 3H—通辽 60km 约 1(巴士)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今日安排：早餐后参观北洋军阀末代元首张作霖和伟大的爱国者张学良将军父子两代主政东北时期的官邸和私宅—【沈阳张氏帅府】(游览约1 小时、每周一闭馆)。游览大青楼、小青楼、赵四小姐楼等充满浓郁民国文化特色的建筑。【沈阳故宫】 （游览约1小时，逢周一闭馆） ，是后金入关前的沈阳（盛京）皇宫和清朝迁都北京后的盛京行宫（或称奉天行宫），始建于1625年，初成于1636年。至乾隆时期又有较大规模的改建与增修，占地约6万平方米。与北京故宫相比，沈阳故宫建筑风格上更添有满、蒙的特色。游览后乘车赴【塔敏查干魔鬼沙漠】(塔敏查干，蒙语，译为“魔鬼”或“地狱”)：参观电影《孤驼泪》的外景拍摄地。这里是库伦旗生态旅游中的优良旅游区，也是东北地区最大的沙漠带。自奈曼旗东部伸入到库伦旗，曲折蛇行入科尔沁左翼后旗境内，号称“八百里瀚海”。在这浩瀚的沙海中植被稀少，一概是金光灿灿的明沙，沙丘连绵起伏广阔无际。在酷热的夏日，沙漠深处偶而会出现“沙市蜃楼”的奇观，或楼台殿阁，或都市风光，绡纵即逝，如梦如幻。晚餐品尝通辽地方美食烧麦（或特色火锅，具体以实际安排为准不另行告知敬请谅解）。 酒店：通辽当地新装修准三酒店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早餐：含；午餐：含；晚餐：含；住宿：通辽</w:t>
            </w:r>
          </w:p>
        </w:tc>
      </w:tr>
      <w:tr>
        <w:tc>
          <w:tcPr>
            <w:tcW w:w="2310" w:type="dxa"/>
            <w:vAlign w:val="center"/>
            <w:vMerge w:val="restart"/>
          </w:tcPr>
          <w:p>
            <w:pPr/>
            <w:r>
              <w:rPr>
                <w:lang w:val="zh-CN"/>
                <w:rFonts w:ascii="Times New Roman" w:hAnsi="Times New Roman" w:cs="Times New Roman"/>
                <w:sz w:val="20"/>
                <w:szCs w:val="20"/>
                <w:color w:val="000000"/>
              </w:rPr>
              <w:t>2025/09/14</w:t>
            </w:r>
          </w:p>
        </w:tc>
        <w:tc>
          <w:tcPr>
            <w:tcW w:w="2310" w:type="dxa"/>
            <w:gridSpan w:val="7"/>
          </w:tcPr>
          <w:p>
            <w:pPr/>
            <w:r>
              <w:rPr>
                <w:lang w:val="zh-CN"/>
                <w:rFonts w:ascii="Times New Roman" w:hAnsi="Times New Roman" w:cs="Times New Roman"/>
                <w:b/>
                <w:color w:val="000000"/>
              </w:rPr>
              <w:t>通辽-霍林郭勒（280KM 车程约 3.5H）(巴士)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前往“草原煤都”霍林郭勒市，地处科尔沁草原、锡林郭勒草原和呼伦贝尔草原三大草原交汇地带，素有"塞北城"的美誉，途经科尔沁扎鲁特山地草原，连绵的山川下，清澈的小溪在欢快流淌，远处的蒙古包就像飞落的大雁一样镶嵌在草原上，一路尽赏科尔沁草原风光，后赴【乌拉盖草原】（乌拉盖草原是世界上保存最完好的天然草原，属森林草原向典型草原过渡地带，以典型草原为主，动植物种类繁多，水资源丰富。由于乌拉盖草原具有完好的草原生态性，由法国导演让·雅克·阿诺执导，冯绍峰、窦骁等主演的电影《狼图腾》的拍摄地和故事背景地），游览【九曲湾景区+电瓶车】，九曲湾位于乌拉盖湖东10 公里，与湖入口相连，属乌拉盖河最为蜿蜒曲折的河段，一个不留遗憾的地方，站在九曲弯观景台，远望九曲十八弯的河水，碧水蓝天，青草丰美，草原透出九曲湾的自由与飘逸，九曲湾彰显草原的包容与生生不息。游览后赴【可汗山景区】，是我国目前雕塑高度最高、占地面积最大的艺术品雕塑群，气势如虹的蒙古可汗皇帝雕像群，重现了一千年蒙古铁骑所向披靡的光辉岁月。晚餐后入住酒店。酒店：霍林郭勒当地新装修准三酒店 温馨提示：1. 九曲湾景区预计开园时间5 月末，具体开园时间以景区实际通知为准，若未开园改为外观，敬请谅解！2. 可汗山景区暂定5 月20 日前免费入园，具体收费时间以景区实际通知为准，若提前收费，敬请谅解！</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早餐：含；午餐：含；晚餐：含；住宿：霍林郭勒</w:t>
            </w:r>
          </w:p>
        </w:tc>
      </w:tr>
      <w:tr>
        <w:tc>
          <w:tcPr>
            <w:tcW w:w="2310" w:type="dxa"/>
            <w:vAlign w:val="center"/>
            <w:vMerge w:val="restart"/>
          </w:tcPr>
          <w:p>
            <w:pPr/>
            <w:r>
              <w:rPr>
                <w:lang w:val="zh-CN"/>
                <w:rFonts w:ascii="Times New Roman" w:hAnsi="Times New Roman" w:cs="Times New Roman"/>
                <w:sz w:val="20"/>
                <w:szCs w:val="20"/>
                <w:color w:val="000000"/>
              </w:rPr>
              <w:t>2025/09/15</w:t>
            </w:r>
          </w:p>
        </w:tc>
        <w:tc>
          <w:tcPr>
            <w:tcW w:w="2310" w:type="dxa"/>
            <w:gridSpan w:val="7"/>
          </w:tcPr>
          <w:p>
            <w:pPr/>
            <w:r>
              <w:rPr>
                <w:lang w:val="zh-CN"/>
                <w:rFonts w:ascii="Times New Roman" w:hAnsi="Times New Roman" w:cs="Times New Roman"/>
                <w:b/>
                <w:color w:val="000000"/>
              </w:rPr>
              <w:t>霍林郭勒/乌拉盖—阿尔山（400 公里，车程约 4.5H）(巴士)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今日安排：早餐后乘车赴一半是火山一半是森林、具有中国“瑞士小镇”之称的【5A 级阿尔山国家森林公园】阿尔山国家森林公园直径75 公里是中国最低调的“公园”园区内，体验淳朴的自然风景，和真实的林区人民生活，与原始的大兴安岭亲密接触。【石塘林】观火山熔间歇流,亚洲最大的火山岩溶地貌，走入石塘林就如走进天然、完整的火山熔岩地质博物馆、寸土无机的石塘林内，生长着高大的落叶松，大片的低等植物苔藓与高大的松柏相依相偎；登【阿尔山天池】一个高位火山口湖，为火山喷发后在火山口积水而成的湖泊；神奇灵秀的【三潭峡】由映松潭、映壁潭、龙凤潭三个深潭组成。峡谷长约2 公里，由河流切割而成，峡谷南壁陡峭险峻，北壁由巨大火山岩堆积而成。游览后入住酒店酒店：阿尔山景区内/阿尔山市区民宿</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早餐：含；午餐：含；晚餐：含；住宿：阿尔山</w:t>
            </w:r>
          </w:p>
        </w:tc>
      </w:tr>
      <w:tr>
        <w:tc>
          <w:tcPr>
            <w:tcW w:w="2310" w:type="dxa"/>
            <w:vAlign w:val="center"/>
            <w:vMerge w:val="restart"/>
          </w:tcPr>
          <w:p>
            <w:pPr/>
            <w:r>
              <w:rPr>
                <w:lang w:val="zh-CN"/>
                <w:rFonts w:ascii="Times New Roman" w:hAnsi="Times New Roman" w:cs="Times New Roman"/>
                <w:sz w:val="20"/>
                <w:szCs w:val="20"/>
                <w:color w:val="000000"/>
              </w:rPr>
              <w:t>2025/09/16</w:t>
            </w:r>
          </w:p>
        </w:tc>
        <w:tc>
          <w:tcPr>
            <w:tcW w:w="2310" w:type="dxa"/>
            <w:gridSpan w:val="7"/>
          </w:tcPr>
          <w:p>
            <w:pPr/>
            <w:r>
              <w:rPr>
                <w:lang w:val="zh-CN"/>
                <w:rFonts w:ascii="Times New Roman" w:hAnsi="Times New Roman" w:cs="Times New Roman"/>
                <w:b/>
                <w:color w:val="000000"/>
              </w:rPr>
              <w:t>阿尔山—满洲里 450km 约 4.5H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早餐后一路欣赏中国四大牧场之一的呼伦贝尔大草原，这里仅有牧民和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少数的摄影家，到达这里的游客少之又少，这才是真正的深入草原，平整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的草原像绿油油的地毯，远处山峦起伏，朵朵白云山边飘来，群群牛羊簇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簇毡包。在呼伦贝尔草原的腹地，这里是“成吉思汗”黄金家族彻底覆灭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的地方，明朝将领蓝玉在这里追杀大元皇帝天元帝，彻底结束了元朝的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统治。这里草天相连、人烟罕至，自然环境保护良好，车辆行驶其中，如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同驶向蓝天白云，驶入草原的天堂。乘【越野车穿越草原】抵达草原最深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处，看草原美景。游览呼伦湖的出口【远观二卡跨国湿地】，这里有呼伦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贝尔“第二森林”之称，走过13道湾的湿地桥，探访近在咫尺的中国友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好邻邦俄罗斯。后乘车赴中国最大的陆路口岸、魅力名城——满洲里，满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洲里是一座美丽富饶的边境城市，走在满洲里的街道仿佛置身于异国他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乡，哥特式的建筑，满街的俄文和金发碧眼的俄罗斯姑娘，让您体验过草原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的雄伟壮阔之后再体验异国他乡的风情。【中俄第五代国门】AAAAA（外观）坐落于满洲里市区以西8公里处中俄两国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铁路连接点中方一侧，与原苏联国门相对应。建筑风格为后工业时代风格。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国门呈“门”字型，庄严伟岸。总面积约20万平方米，年接待游客200万人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次。满洲里第五代国门是中国陆路口岸最大的国门。【满洲里版“迪士尼乐园”-套娃景区】（外观）是以俄罗斯传统工艺品——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套娃形象为主题的大型综合旅游度假景区，园区拥有以莫斯科红场为建筑元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素的景区入口和游客中心，以圣彼得堡喋血大教堂为外观的俄罗斯民俗体验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馆、以伊萨吉普大教堂为建筑形象的中俄友谊展览馆，以及将俄罗斯特色建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筑按原比例建设的俄罗斯玉石加工直营店、俄罗斯紫金珠宝直营店、俄罗斯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香肠加工直营店、俄罗斯画舫、俄蒙食品超市、套娃体验店、俄罗斯皇家琥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珀宫，所有商品由俄罗斯传统工匠精心手工打造。酒店：满洲里当地新装修准三酒店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早餐：含；午餐：含；晚餐：含；住宿：满洲里</w:t>
            </w:r>
          </w:p>
        </w:tc>
      </w:tr>
      <w:tr>
        <w:tc>
          <w:tcPr>
            <w:tcW w:w="2310" w:type="dxa"/>
            <w:vAlign w:val="center"/>
            <w:vMerge w:val="restart"/>
          </w:tcPr>
          <w:p>
            <w:pPr/>
            <w:r>
              <w:rPr>
                <w:lang w:val="zh-CN"/>
                <w:rFonts w:ascii="Times New Roman" w:hAnsi="Times New Roman" w:cs="Times New Roman"/>
                <w:sz w:val="20"/>
                <w:szCs w:val="20"/>
                <w:color w:val="000000"/>
              </w:rPr>
              <w:t>2025/09/17</w:t>
            </w:r>
          </w:p>
        </w:tc>
        <w:tc>
          <w:tcPr>
            <w:tcW w:w="2310" w:type="dxa"/>
            <w:gridSpan w:val="7"/>
          </w:tcPr>
          <w:p>
            <w:pPr/>
            <w:r>
              <w:rPr>
                <w:lang w:val="zh-CN"/>
                <w:rFonts w:ascii="Times New Roman" w:hAnsi="Times New Roman" w:cs="Times New Roman"/>
                <w:b/>
                <w:color w:val="000000"/>
              </w:rPr>
              <w:t>满洲里—额尔古纳 320 ㎞ 约 3H—根河 120 ㎞ 约 2H(巴士)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早餐后乘延【边防公路景观带】—从黑山头镇到满洲里沿途200余公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里，这是一条中国对俄罗斯的边防公路，一路上口岸和关卡众多，因人烟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罕至而保留了原生态的草原景观，茫茫草原和蓝天相接，车子驶入其中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如同开往天际。抵达【33湿地停靠点】边防公路右侧大片草原湿地风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光，远处湖边能看到野生水禽和飞翔的苍鹰，三五成群的野马，羊群，景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色让人陶醉。游览后乘车赴额尔古纳，【额尔古纳湿地公园】AAAA欣赏亚洲第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一湿地，远离城市的雾霾与喧嚣，呼吸国家湿地的高负离子空气，恋上这里的清澈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与静逸。根河像一条银色的玉带，弯弯曲曲的在平坦的草原上流淌，它有大兴安岭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腹地的塔里亚河、阿龙河、金河、敖鲁古雅河汇集形成。形成壮观秀丽的河流湿地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景观。【驯鹿使鹿部落】探访使鹿部落，他们藏于大兴安岭林区的林海雪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原之中，在零下40多度的极端条件下生存，坚守着最原始的狩猎方式，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与驯鹿为伴。原始、氏族公社的种种迹象和思维方式至今仍然在他们中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间部分保留着，是中国唯一饲养驯鹿的民族。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入住酒店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酒店：额尔古纳/根河木屋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温馨提示：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1、来到呼伦贝尔大草原请您一定尊重草原人民的风俗习惯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2、呼伦贝尔草原紫外线强烈，请自备防晒护肤用品。草原早晚温差较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大，有户外活动的客人准备长袖衫及防蚊虫药。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早餐：含；午餐：含；晚餐：含；住宿：额尔古纳/根河木屋</w:t>
            </w:r>
          </w:p>
        </w:tc>
      </w:tr>
      <w:tr>
        <w:tc>
          <w:tcPr>
            <w:tcW w:w="2310" w:type="dxa"/>
            <w:vAlign w:val="center"/>
            <w:vMerge w:val="restart"/>
          </w:tcPr>
          <w:p>
            <w:pPr/>
            <w:r>
              <w:rPr>
                <w:lang w:val="zh-CN"/>
                <w:rFonts w:ascii="Times New Roman" w:hAnsi="Times New Roman" w:cs="Times New Roman"/>
                <w:sz w:val="20"/>
                <w:szCs w:val="20"/>
                <w:color w:val="000000"/>
              </w:rPr>
              <w:t>2025/09/18</w:t>
            </w:r>
          </w:p>
        </w:tc>
        <w:tc>
          <w:tcPr>
            <w:tcW w:w="2310" w:type="dxa"/>
            <w:gridSpan w:val="7"/>
          </w:tcPr>
          <w:p>
            <w:pPr/>
            <w:r>
              <w:rPr>
                <w:lang w:val="zh-CN"/>
                <w:rFonts w:ascii="Times New Roman" w:hAnsi="Times New Roman" w:cs="Times New Roman"/>
                <w:b/>
                <w:color w:val="000000"/>
              </w:rPr>
              <w:t>根河—北极村 420 ㎞ 约 6.5H(巴士)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早餐后乘车赴北极村，尽情体验与自然亲近的欢愉，尽情享受穿越原始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森林腹地的浪漫，抵达中国最北、中俄界江边上的【北极村】，游览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【北极沙洲】寻找中国最北点、中俄界江风光；沿江观赏对岸俄罗斯远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东地区有浓郁的异域特点小村庄-【伊格那思依诺村】江里盛产珍贵的冷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水鱼，品种极多，有哲罗、细鳞、大马哈、鳇鱼等等。后参观中华北极的标志性建筑物—【神州北极碑】此石碑与号称天涯海角的“南天一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柱”齐名，并与之遥相呼应，是北极村的一个象征性标记。凡是来北极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村游览观光的客人，均会在此石碑前摄影留念，以证北极之约。游览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【中国最北一家】并与其“木揢楞”式的小木屋拍照留念，参观【最北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邮局】—购买几张明信片，印上最北的邮戳，给远方的家人和朋友寄去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来自祖国最北的问候.欣赏【北极星空】远离城市的喧嚣，那么抬头便是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让人神往的无际星空，巨大的北斗七星就在眼前好像伸手就能摸到，在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浩瀚的星空下会感觉自己是那样的渺小和孤单。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酒店：北极村当地家庭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旅馆/漠河当地快捷酒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店温馨提示：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1.当天车程时间较长，烦请配合导游合理安排游览时间，自备小食。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北极村景区内住宿资源紧张，如遇无房情况下我社有权调整至漠河民宿/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快捷酒店入住（独卫浴、自备洗漱用品）</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早餐：含；午餐：含；晚餐：含；住宿：北极村当地家庭旅馆</w:t>
            </w:r>
          </w:p>
        </w:tc>
      </w:tr>
      <w:tr>
        <w:tc>
          <w:tcPr>
            <w:tcW w:w="2310" w:type="dxa"/>
            <w:vAlign w:val="center"/>
            <w:vMerge w:val="restart"/>
          </w:tcPr>
          <w:p>
            <w:pPr/>
            <w:r>
              <w:rPr>
                <w:lang w:val="zh-CN"/>
                <w:rFonts w:ascii="Times New Roman" w:hAnsi="Times New Roman" w:cs="Times New Roman"/>
                <w:sz w:val="20"/>
                <w:szCs w:val="20"/>
                <w:color w:val="000000"/>
              </w:rPr>
              <w:t>2025/09/19</w:t>
            </w:r>
          </w:p>
        </w:tc>
        <w:tc>
          <w:tcPr>
            <w:tcW w:w="2310" w:type="dxa"/>
            <w:gridSpan w:val="7"/>
          </w:tcPr>
          <w:p>
            <w:pPr/>
            <w:r>
              <w:rPr>
                <w:lang w:val="zh-CN"/>
                <w:rFonts w:ascii="Times New Roman" w:hAnsi="Times New Roman" w:cs="Times New Roman"/>
                <w:b/>
                <w:color w:val="000000"/>
              </w:rPr>
              <w:t>北极村—鹿鼎山 484km 车程约 6.5H—黑河 217km 车程约 3H(巴士)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游览后乘车赴十八站，游览【鹿鼎山石碑】——大清龙脉，金庸老先生亲笔题字。《鹿鼎记》中曾这样写到：数日之间，韦小宝已问明了七八十个地名，拿去复在图上一看，原来那八个四色小圈，是在黑龙江之北，正当阿穆尔河和黑龙江合流之处，在呼玛尔窝集山正北，阿穆尔山西北。八个小圈之间写着两个黄色满洲字，译成汉字，乃是“鹿鼎山”三字。途径【萨满山】萨满教是在原始信仰基础上发展起来的一种民间信仰活动。流传于中国东北鄂伦春族、鄂温克族、赫哲族和达斡尔族，位于大兴安岭塔河十八站，是鄂伦春民族的神山，鄂伦春族尚有一部分以狩猎为生的人，鄂伦春民族是狩猎的月亮民族，崇拜太阳、月亮、鹿神等。游览后乘车赴黑河，游览后入住酒店酒店：黑河当地新装修准三酒店 温馨提示：当天车程时间较长，烦请配合导游合理安排游览时间，自备小食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早餐：含；午餐：含；晚餐：含；住宿：黑河</w:t>
            </w:r>
          </w:p>
        </w:tc>
      </w:tr>
      <w:tr>
        <w:tc>
          <w:tcPr>
            <w:tcW w:w="2310" w:type="dxa"/>
            <w:vAlign w:val="center"/>
            <w:vMerge w:val="restart"/>
          </w:tcPr>
          <w:p>
            <w:pPr/>
            <w:r>
              <w:rPr>
                <w:lang w:val="zh-CN"/>
                <w:rFonts w:ascii="Times New Roman" w:hAnsi="Times New Roman" w:cs="Times New Roman"/>
                <w:sz w:val="20"/>
                <w:szCs w:val="20"/>
                <w:color w:val="000000"/>
              </w:rPr>
              <w:t>2025/09/20</w:t>
            </w:r>
          </w:p>
        </w:tc>
        <w:tc>
          <w:tcPr>
            <w:tcW w:w="2310" w:type="dxa"/>
            <w:gridSpan w:val="7"/>
          </w:tcPr>
          <w:p>
            <w:pPr/>
            <w:r>
              <w:rPr>
                <w:lang w:val="zh-CN"/>
                <w:rFonts w:ascii="Times New Roman" w:hAnsi="Times New Roman" w:cs="Times New Roman"/>
                <w:b/>
                <w:color w:val="000000"/>
              </w:rPr>
              <w:t>黑河—五大连池 280 ㎞ 约 3.5H—齐齐哈尔 270km 约 3H(巴士)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今日安排：早餐后游览黑河市容市貌，中央商业步行街，俄罗斯人把这里称作购物的天堂，不用出国，在这里就能见到金发碧眼的俄罗斯美女。游览沿江公园，黑龙江大桥公园（游览约20 分钟）中俄黑河—布拉戈维申斯克界河公路大桥，是中俄两国间首座跨黑龙江（阿穆尔河）界河公路桥，连接中国黑河市和俄罗斯布拉戈维申斯克市路线全长19.9 公里，其中中方境内长6.5 公里、俄方境内长13.4公里。游览后赴【瑷珲古城】。游览【瑷珲历史陈列馆】清代第一任黑龙江将9 军衙门驻地、1858年《中俄瑷珲条约》的签订地——瑷珲新城遗址，爱辉历史陈列馆是全国唯一一座以全面反映中俄东部关系史为基本陈列内容的专题性遗址博物馆。后乘车前往游览【五大连池景区】，午餐后游览【北饮泉】（游览约20 分钟）观赏熔岩台地、益身亭、品尝世界三大冷泉之一的五大连池矿泉水，泉湖瀑布、北苑赏苇、药泉湖是火山熔岩形成的堰塞湖。游览后乘车赴齐齐哈尔入住酒店。酒店：齐齐哈尔当地新装修准三酒店    温馨提示：1. 当天车程时间较长，烦请配合导游合理安排游览时间，自备小食.五大连池景区隶属五大连池自然保护区，每年景区定期维护，如团队在行进过程中遇【北饮泉】未开放置换【药泉山】景区，给您带来不便敬请谅解!</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早餐：含；午餐：含；晚餐：含；住宿：齐齐哈尔</w:t>
            </w:r>
          </w:p>
        </w:tc>
      </w:tr>
      <w:tr>
        <w:tc>
          <w:tcPr>
            <w:tcW w:w="2310" w:type="dxa"/>
            <w:vAlign w:val="center"/>
            <w:vMerge w:val="restart"/>
          </w:tcPr>
          <w:p>
            <w:pPr/>
            <w:r>
              <w:rPr>
                <w:lang w:val="zh-CN"/>
                <w:rFonts w:ascii="Times New Roman" w:hAnsi="Times New Roman" w:cs="Times New Roman"/>
                <w:sz w:val="20"/>
                <w:szCs w:val="20"/>
                <w:color w:val="000000"/>
              </w:rPr>
              <w:t>2025/09/21</w:t>
            </w:r>
          </w:p>
        </w:tc>
        <w:tc>
          <w:tcPr>
            <w:tcW w:w="2310" w:type="dxa"/>
            <w:gridSpan w:val="7"/>
          </w:tcPr>
          <w:p>
            <w:pPr/>
            <w:r>
              <w:rPr>
                <w:lang w:val="zh-CN"/>
                <w:rFonts w:ascii="Times New Roman" w:hAnsi="Times New Roman" w:cs="Times New Roman"/>
                <w:b/>
                <w:color w:val="000000"/>
              </w:rPr>
              <w:t>齐齐哈尔—哈尔滨 300 ㎞ 约 4H(巴士)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赴【扎龙自然保护区】扎龙湿地是世界上最大的芦苇湿地，也是丹顶鹤的故乡。来扎龙可以看到丹顶鹤们优美的身姿，它们或展翅飞翔、或在芦苇丛中蹒跚觅食，每年都有大批的摄影爱好者来此捕捉这些美丽的画面。游览后乘车赴【哈拉新村梅里斯景区】（赠送），参加达斡尔族欢迎仪式——迎宾酒，观看民族英雄雕像、阿拉古城，参观传统的达斡尔民居。莫旗是全国仅有的三个少数民族；中餐品尝达斡尔民族特色餐。午餐后参观索伦三部（鄂伦春，鄂温克达斡尔）民族舞蹈，观看非遗表演，三少民族集体舞，与演员互动，感受达斡尔人能歌善舞的传承和热情自治旗之一。全旗有汉，蒙古，回、满，朝鲜，达斡尔，俄罗斯，鄂温克，鄂伦春等17 个民族，观非遗展示园、观看非遗表演、三少集体舞互动体验演出、观萨满文化博物馆、雅克萨城、曲棍球基地；游览后乘车赴哈尔滨。酒店：哈尔滨当地新装修准三酒店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早餐：含；午餐：含；晚餐：含；住宿：哈尔滨</w:t>
            </w:r>
          </w:p>
        </w:tc>
      </w:tr>
      <w:tr>
        <w:tc>
          <w:tcPr>
            <w:tcW w:w="2310" w:type="dxa"/>
            <w:vAlign w:val="center"/>
            <w:vMerge w:val="restart"/>
          </w:tcPr>
          <w:p>
            <w:pPr/>
            <w:r>
              <w:rPr>
                <w:lang w:val="zh-CN"/>
                <w:rFonts w:ascii="Times New Roman" w:hAnsi="Times New Roman" w:cs="Times New Roman"/>
                <w:sz w:val="20"/>
                <w:szCs w:val="20"/>
                <w:color w:val="000000"/>
              </w:rPr>
              <w:t>2025/09/22</w:t>
            </w:r>
          </w:p>
        </w:tc>
        <w:tc>
          <w:tcPr>
            <w:tcW w:w="2310" w:type="dxa"/>
            <w:gridSpan w:val="7"/>
          </w:tcPr>
          <w:p>
            <w:pPr/>
            <w:r>
              <w:rPr>
                <w:lang w:val="zh-CN"/>
                <w:rFonts w:ascii="Times New Roman" w:hAnsi="Times New Roman" w:cs="Times New Roman"/>
                <w:b/>
                <w:color w:val="000000"/>
              </w:rPr>
              <w:t>哈尔滨—镜泊湖 400 ㎞ 约 5.5H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前往异国风情的百年老街—【中央大街】，走在中央大街，百年积淀的文化底蕴，独具特色的欧陆风情、经久不衰的传奇故事。参观哈尔滨的标志性建筑—【防洪纪念塔】，为了纪念哈尔滨人民战胜1957 年特大洪水而建造的，描绘了哈尔滨人民战胜洪水的生动场面，体现了哈尔滨人民团结一心、共同战胜洪水的英雄气概。游览中国最长的带状开放式公园—【斯大林公园】，参观远东地区最大的东正教教堂—【索菲亚教堂广场】及迎接八方游客的“城市会客厅”—【建筑艺术 广场】午餐品尝【东北饺子宴】薄皮大馅的饺子包含着浓浓的东北情。午餐后乘车赴【网红中东铁路桥】，游览后乘车赴【镜泊湖景区】晚餐后品尝镜泊湖鱼，入住酒店休息。酒店：镜泊湖/敦化当地新装修准三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早餐：含；午餐：含；晚餐：含；住宿：镜泊湖/敦化</w:t>
            </w:r>
          </w:p>
        </w:tc>
      </w:tr>
      <w:tr>
        <w:tc>
          <w:tcPr>
            <w:tcW w:w="2310" w:type="dxa"/>
            <w:vAlign w:val="center"/>
            <w:vMerge w:val="restart"/>
          </w:tcPr>
          <w:p>
            <w:pPr/>
            <w:r>
              <w:rPr>
                <w:lang w:val="zh-CN"/>
                <w:rFonts w:ascii="Times New Roman" w:hAnsi="Times New Roman" w:cs="Times New Roman"/>
                <w:sz w:val="20"/>
                <w:szCs w:val="20"/>
                <w:color w:val="000000"/>
              </w:rPr>
              <w:t>2025/09/23</w:t>
            </w:r>
          </w:p>
        </w:tc>
        <w:tc>
          <w:tcPr>
            <w:tcW w:w="2310" w:type="dxa"/>
            <w:gridSpan w:val="7"/>
          </w:tcPr>
          <w:p>
            <w:pPr/>
            <w:r>
              <w:rPr>
                <w:lang w:val="zh-CN"/>
                <w:rFonts w:ascii="Times New Roman" w:hAnsi="Times New Roman" w:cs="Times New Roman"/>
                <w:b/>
                <w:color w:val="000000"/>
              </w:rPr>
              <w:t>镜泊湖—二道白河 270 ㎞ 约 5H(巴士)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今日安排：早餐后乘车赴全国最大的高山堰塞湖——【镜泊湖风景名胜区】，沿途可欣赏茂密的原始森林，后乘景区内环保车（景区交通30 元/人）进入景区，观赏我国著名的三大瀑布之一【吊水楼瀑布】因其居镜泊湖北端，又名镜泊湖瀑布。瀑布四周布满黑色的火山岩，落差20 米，幅宽40 米，洪水期瀑布宽达100 多米。瀑水飞泻直下，浪花四溅，气势磅礴，震声如雷。游览后乘车赴长白山脚下二道白河入住酒店休息。 酒店：二道白河当地新装修准三酒店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早餐：含；午餐：含；晚餐：含；住宿：二道白河</w:t>
            </w:r>
          </w:p>
        </w:tc>
      </w:tr>
      <w:tr>
        <w:tc>
          <w:tcPr>
            <w:tcW w:w="2310" w:type="dxa"/>
            <w:vAlign w:val="center"/>
            <w:vMerge w:val="restart"/>
          </w:tcPr>
          <w:p>
            <w:pPr/>
            <w:r>
              <w:rPr>
                <w:lang w:val="zh-CN"/>
                <w:rFonts w:ascii="Times New Roman" w:hAnsi="Times New Roman" w:cs="Times New Roman"/>
                <w:sz w:val="20"/>
                <w:szCs w:val="20"/>
                <w:color w:val="000000"/>
              </w:rPr>
              <w:t>2025/09/24</w:t>
            </w:r>
          </w:p>
        </w:tc>
        <w:tc>
          <w:tcPr>
            <w:tcW w:w="2310" w:type="dxa"/>
            <w:gridSpan w:val="7"/>
          </w:tcPr>
          <w:p>
            <w:pPr/>
            <w:r>
              <w:rPr>
                <w:lang w:val="zh-CN"/>
                <w:rFonts w:ascii="Times New Roman" w:hAnsi="Times New Roman" w:cs="Times New Roman"/>
                <w:b/>
                <w:color w:val="000000"/>
              </w:rPr>
              <w:t>二道白河-北景区 35 ㎞ 约 50 分钟 -丹东 500 ㎞ 约 7H(巴士)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景区摆渡车】赴中国十大名山之一【长白山】，抵山门后乘【环保车】进入长白山风景区：游客可乘【倒站车】上山参观我国火山口湖中海拔最高、最大最深的一个湖泊、松花江、图们江、鸭绿江三江的发源地——长白天池，观赏长白瀑布，观火山聚龙温泉池，还可观水平如镜的小天池，绿渊潭等，欣赏世界上同纬度内唯一没有受污染的、烟波浩瀚的茫茫原始林海；游览后乘车前往鸭绿江畔-最美丹东！入住酒店休息。餐饮：早、中、晚酒店：丹东/通化当地新装修准三酒店 温馨提示：1. 长白山景区实行摆渡车，需在二道白河换乘中心换乘景区摆渡车（35/人自理）抵达长白山山门，具体实行时间及金额以景区通知为准，敬请谅解！2. 长白山环保车为一票通用各景点间需换乘，可向景区工作人员咨询或看景区分布图。进入山门后乘循环车先到景点（车程19 公里）先后顺序由景区内车辆调度根据客流量统一安排；乘倒站车上山购票需排队等候，一般需等候约30分钟--1小时。3. 长白山景区内各个景点比较分散，为保证大家景区的游览时间午餐不含，当天抵达丹东较晚，烦请自备餐食。4. 长白山山上气温较低，请穿多一些衣服，天上阴晴不定，请于当天备好雨伞，太阳帽等物品。主峰天气变化多端，可能会临时   关闭主峰及景区，敬请谅解！！5. 长白山、镜泊湖地区整体住宿水平有限，大多数酒店没有电梯设施，请大家调整心态，勿用城市心态衡量，敬请谅解。当天车程较长，烦请配合导游合理安排游览时间。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早餐：含；午餐：含；晚餐：含；住宿：丹东/通化</w:t>
            </w:r>
          </w:p>
        </w:tc>
      </w:tr>
      <w:tr>
        <w:tc>
          <w:tcPr>
            <w:tcW w:w="2310" w:type="dxa"/>
            <w:vAlign w:val="center"/>
            <w:vMerge w:val="restart"/>
          </w:tcPr>
          <w:p>
            <w:pPr/>
            <w:r>
              <w:rPr>
                <w:lang w:val="zh-CN"/>
                <w:rFonts w:ascii="Times New Roman" w:hAnsi="Times New Roman" w:cs="Times New Roman"/>
                <w:sz w:val="20"/>
                <w:szCs w:val="20"/>
                <w:color w:val="000000"/>
              </w:rPr>
              <w:t>2025/09/25</w:t>
            </w:r>
          </w:p>
        </w:tc>
        <w:tc>
          <w:tcPr>
            <w:tcW w:w="2310" w:type="dxa"/>
            <w:gridSpan w:val="7"/>
          </w:tcPr>
          <w:p>
            <w:pPr/>
            <w:r>
              <w:rPr>
                <w:lang w:val="zh-CN"/>
                <w:rFonts w:ascii="Times New Roman" w:hAnsi="Times New Roman" w:cs="Times New Roman"/>
                <w:b/>
                <w:color w:val="000000"/>
              </w:rPr>
              <w:t>丹东—沈阳</w:t>
            </w:r>
            <w:r>
              <w:rPr>
                <w:lang w:val="zh-CN"/>
                <w:rFonts w:ascii="Times New Roman" w:hAnsi="Times New Roman" w:cs="Times New Roman"/>
                <w:b/>
                <w:color w:val="000000"/>
              </w:rPr>
              <w:tab/>
            </w:r>
            <w:r>
              <w:rPr>
                <w:lang w:val="zh-CN"/>
                <w:rFonts w:ascii="Times New Roman" w:hAnsi="Times New Roman" w:cs="Times New Roman"/>
                <w:b/>
                <w:color w:val="000000"/>
              </w:rPr>
              <w:t>240 ㎞</w:t>
            </w:r>
            <w:r>
              <w:rPr>
                <w:lang w:val="zh-CN"/>
                <w:rFonts w:ascii="Times New Roman" w:hAnsi="Times New Roman" w:cs="Times New Roman"/>
                <w:b/>
                <w:color w:val="000000"/>
              </w:rPr>
              <w:tab/>
            </w:r>
            <w:r>
              <w:rPr>
                <w:lang w:val="zh-CN"/>
                <w:rFonts w:ascii="Times New Roman" w:hAnsi="Times New Roman" w:cs="Times New Roman"/>
                <w:b/>
                <w:color w:val="000000"/>
              </w:rPr>
              <w:t>约 3H(巴士)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前往江边“月亮岛国际旅游度假区”在这里可直观朝鲜第四大城市新义州工业园区，后乘车沿鸭绿江一路而行，游览游览【朝鲜抗美援朝纪念馆】（每周一闭馆，提前预约，如遇政策性闭馆、客流管控等改为外观，不另行通知敬请谅解）是全国唯一全面反映中国人民抗美援朝战争和抗美援朝运动历史的专题纪念馆，1950 年10 月19 日,中国人民志愿军雄赳赳、气昂昂跨过鸭绿江,拉开了抗美援朝战争的序幕。之后前往【国门一线中朝最近距离一步跨】享用午餐，免费提供朝鲜服装拍照。游览一步跨遥望朝鲜景色。游览后乘车前往游船码头，游览后赴丹东最美边境线起点一一【河口】这里是中国十大最美乡村之一《在那桃花盛开的地方》、也是抗美援朝时期志愿军雄赳赳、气昂昂跨过鸭绿江的地方。乘坐【鸭绿江边境游船】，沿途观看中朝两岸风光，朝鲜边防哨所，抗美援朝暗堡旧址，朝鲜清水郡育苗基地，朝鲜高干疗养院，朝鲜女兵营等，领略神秘异国风光，近距旁观赏朝鲜百姓最真实的生活状态。后登【断桥】重走抗美援朝雄赳赳，气昂昂渡江路线。游览后乘车赴沈阳，漫步中国第一条商业步行街-【中街】厚重的历史积累与文化沉淀形成了独具皇城特色的购物休闲场，街道两旁店铺鳞次栉比，买卖兴隆，一派欣欣向荣之意，有着“东北第一街”的美誉。游览后入住酒店。酒店：沈阳当地新装修准三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早餐：含；午餐：含；晚餐：含；住宿：沈阳</w:t>
            </w:r>
          </w:p>
        </w:tc>
      </w:tr>
      <w:tr>
        <w:tc>
          <w:tcPr>
            <w:tcW w:w="2310" w:type="dxa"/>
            <w:vAlign w:val="center"/>
            <w:vMerge w:val="restart"/>
          </w:tcPr>
          <w:p>
            <w:pPr/>
            <w:r>
              <w:rPr>
                <w:lang w:val="zh-CN"/>
                <w:rFonts w:ascii="Times New Roman" w:hAnsi="Times New Roman" w:cs="Times New Roman"/>
                <w:sz w:val="20"/>
                <w:szCs w:val="20"/>
                <w:color w:val="000000"/>
              </w:rPr>
              <w:t>2025/09/26</w:t>
            </w:r>
          </w:p>
        </w:tc>
        <w:tc>
          <w:tcPr>
            <w:tcW w:w="2310" w:type="dxa"/>
            <w:gridSpan w:val="7"/>
          </w:tcPr>
          <w:p>
            <w:pPr/>
            <w:r>
              <w:rPr>
                <w:lang w:val="zh-CN"/>
                <w:rFonts w:ascii="Times New Roman" w:hAnsi="Times New Roman" w:cs="Times New Roman"/>
                <w:b/>
                <w:color w:val="000000"/>
              </w:rPr>
              <w:t>沈阳—温馨的家(飞机)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上您可根据车次情况休息到自然醒，自由活动（中午12点之前退房，如乘晚火车返程行李可寄存酒店前台，如延时退房，房费自理），根据车次时间免费提供送站服务，结束愉快的东北之旅。祝您一路平安，欢迎您再来！参考车次：沈阳北-昆明站Z328次第17天12:50-第19天早10:23（实际以出票为准）温馨提示：出发时间在中午12点后的，烦请提前退房，再自行安排活动（请注意酒店退房时间12：00前，避免不必要的损失，外出前可将行李寄存前台），登机手续请根据机场指引自行办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入住当地准三酒店，北级村，根河，漠河为家庭宾馆2、全程含14早27正3、全程0自费0购物，景区里的不算店4、全程不含门票，跟据年龄来收门票60岁以下门票需补983元/人门票60-64岁门票需补638元/人门票65-69岁门票需补320元/人门票70岁以上门票需补140元/人5、全程不含景交718元/人</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盛总</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秦世莲</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2025/9/4 10:39:41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