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安徽景天国际旅行社有限公司团队/散客确认书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淮南国祥（挂好之旅出境资质）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肖琴</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18130116618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安徽景天国际旅行社有限公司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周佳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13359018830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CLY05飞机240210B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巧遇双长隆】双飞5日游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2024-02-10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2024-02-14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1、宗楠</w:t>
            </w:r>
          </w:p>
        </w:tc>
        <w:tc>
          <w:tcPr>
            <w:tcW w:w="2310" w:type="dxa"/>
            <w:vAlign w:val="center"/>
            <w:gridSpan w:val="2"/>
          </w:tcPr>
          <w:p>
            <w:pPr/>
            <w:r>
              <w:rPr>
                <w:lang w:val="zh-CN"/>
                <w:rFonts w:ascii="Times New Roman" w:hAnsi="Times New Roman" w:cs="Times New Roman"/>
                <w:sz w:val="20"/>
                <w:szCs w:val="20"/>
                <w:color w:val="000000"/>
              </w:rPr>
              <w:t>340403199008071621</w:t>
            </w:r>
          </w:p>
        </w:tc>
        <w:tc>
          <w:tcPr>
            <w:tcW w:w="2310" w:type="dxa"/>
            <w:vAlign w:val="center"/>
          </w:tcPr>
          <w:p>
            <w:pPr/>
            <w:r>
              <w:rPr>
                <w:lang w:val="zh-CN"/>
                <w:rFonts w:ascii="Times New Roman" w:hAnsi="Times New Roman" w:cs="Times New Roman"/>
                <w:sz w:val="20"/>
                <w:szCs w:val="20"/>
                <w:color w:val="000000"/>
              </w:rPr>
              <w:t>18119500887</w:t>
            </w:r>
          </w:p>
        </w:tc>
        <w:tc>
          <w:tcPr>
            <w:tcW w:w="2310" w:type="dxa"/>
            <w:vAlign w:val="center"/>
          </w:tcPr>
          <w:p>
            <w:pPr/>
            <w:r>
              <w:rPr>
                <w:lang w:val="zh-CN"/>
                <w:rFonts w:ascii="Times New Roman" w:hAnsi="Times New Roman" w:cs="Times New Roman"/>
                <w:sz w:val="20"/>
                <w:szCs w:val="20"/>
                <w:color w:val="000000"/>
              </w:rPr>
              <w:t>2、罗习予</w:t>
            </w:r>
          </w:p>
        </w:tc>
        <w:tc>
          <w:tcPr>
            <w:tcW w:w="2310" w:type="dxa"/>
            <w:vAlign w:val="center"/>
            <w:gridSpan w:val="2"/>
          </w:tcPr>
          <w:p>
            <w:pPr/>
            <w:r>
              <w:rPr>
                <w:lang w:val="zh-CN"/>
                <w:rFonts w:ascii="Times New Roman" w:hAnsi="Times New Roman" w:cs="Times New Roman"/>
                <w:sz w:val="20"/>
                <w:szCs w:val="20"/>
                <w:color w:val="000000"/>
              </w:rPr>
              <w:t>340403202110081468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3、罗龙</w:t>
            </w:r>
          </w:p>
        </w:tc>
        <w:tc>
          <w:tcPr>
            <w:tcW w:w="2310" w:type="dxa"/>
            <w:vAlign w:val="center"/>
            <w:gridSpan w:val="2"/>
          </w:tcPr>
          <w:p>
            <w:pPr/>
            <w:r>
              <w:rPr>
                <w:lang w:val="zh-CN"/>
                <w:rFonts w:ascii="Times New Roman" w:hAnsi="Times New Roman" w:cs="Times New Roman"/>
                <w:sz w:val="20"/>
                <w:szCs w:val="20"/>
                <w:color w:val="000000"/>
              </w:rPr>
              <w:t>340404198905070639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5420.00</w:t>
            </w:r>
          </w:p>
        </w:tc>
        <w:tc>
          <w:tcPr>
            <w:tcW w:w="2310" w:type="dxa"/>
          </w:tcPr>
          <w:p>
            <w:pPr/>
            <w:r>
              <w:rPr>
                <w:lang w:val="zh-CN"/>
                <w:rFonts w:ascii="Times New Roman" w:hAnsi="Times New Roman" w:cs="Times New Roman"/>
                <w:sz w:val="20"/>
                <w:szCs w:val="20"/>
                <w:color w:val="000000"/>
              </w:rPr>
              <w:t>10840.00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2430.00</w:t>
            </w:r>
          </w:p>
        </w:tc>
        <w:tc>
          <w:tcPr>
            <w:tcW w:w="2310" w:type="dxa"/>
          </w:tcPr>
          <w:p>
            <w:pPr/>
            <w:r>
              <w:rPr>
                <w:lang w:val="zh-CN"/>
                <w:rFonts w:ascii="Times New Roman" w:hAnsi="Times New Roman" w:cs="Times New Roman"/>
                <w:sz w:val="20"/>
                <w:szCs w:val="20"/>
                <w:color w:val="000000"/>
              </w:rPr>
              <w:t>2430.00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总金额：壹万叁仟贰佰柒拾元整</w:t>
            </w:r>
          </w:p>
        </w:tc>
        <w:tc>
          <w:tcPr>
            <w:tcW w:w="2310" w:type="dxa"/>
            <w:textDirection w:val="right"/>
            <w:gridSpan w:val="3"/>
          </w:tcPr>
          <w:p>
            <w:pPr/>
            <w:r>
              <w:rPr>
                <w:lang w:val="zh-CN"/>
                <w:rFonts w:ascii="Times New Roman" w:hAnsi="Times New Roman" w:cs="Times New Roman"/>
                <w:b/>
                <w:color w:val="FF0000"/>
              </w:rPr>
              <w:t>13270.00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安徽景天国际旅行社有限公司</w:t>
            </w:r>
          </w:p>
        </w:tc>
        <w:tc>
          <w:tcPr>
            <w:tcW w:w="2310" w:type="dxa"/>
            <w:gridSpan w:val="2"/>
          </w:tcPr>
          <w:p>
            <w:pPr/>
            <w:r>
              <w:rPr>
                <w:lang w:val="zh-CN"/>
                <w:rFonts w:ascii="Times New Roman" w:hAnsi="Times New Roman" w:cs="Times New Roman"/>
                <w:sz w:val="20"/>
                <w:szCs w:val="20"/>
                <w:color w:val="000000"/>
              </w:rPr>
              <w:t>徽商银行合肥站北支行</w:t>
            </w:r>
          </w:p>
        </w:tc>
        <w:tc>
          <w:tcPr>
            <w:tcW w:w="2310" w:type="dxa"/>
            <w:gridSpan w:val="3"/>
          </w:tcPr>
          <w:p>
            <w:pPr/>
            <w:r>
              <w:rPr>
                <w:lang w:val="zh-CN"/>
                <w:rFonts w:ascii="Times New Roman" w:hAnsi="Times New Roman" w:cs="Times New Roman"/>
                <w:sz w:val="20"/>
                <w:szCs w:val="20"/>
                <w:color w:val="000000"/>
              </w:rPr>
              <w:t>1026301021000065788</w:t>
            </w:r>
          </w:p>
        </w:tc>
      </w:tr>
      <w:tr>
        <w:tc>
          <w:tcPr>
            <w:tcW w:w="2310" w:type="dxa"/>
            <w:gridSpan w:val="3"/>
          </w:tcPr>
          <w:p>
            <w:pPr/>
            <w:r>
              <w:rPr>
                <w:lang w:val="zh-CN"/>
                <w:rFonts w:ascii="Times New Roman" w:hAnsi="Times New Roman" w:cs="Times New Roman"/>
                <w:sz w:val="20"/>
                <w:szCs w:val="20"/>
                <w:color w:val="000000"/>
              </w:rPr>
              <w:t>徽商银行卡：（合肥市青年路支行）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6228 7909 1000 0574 983</w:t>
            </w:r>
          </w:p>
        </w:tc>
      </w:tr>
      <w:tr>
        <w:tc>
          <w:tcPr>
            <w:tcW w:w="2310" w:type="dxa"/>
            <w:gridSpan w:val="3"/>
          </w:tcPr>
          <w:p>
            <w:pPr/>
            <w:r>
              <w:rPr>
                <w:lang w:val="zh-CN"/>
                <w:rFonts w:ascii="Times New Roman" w:hAnsi="Times New Roman" w:cs="Times New Roman"/>
                <w:sz w:val="20"/>
                <w:szCs w:val="20"/>
                <w:color w:val="000000"/>
              </w:rPr>
              <w:t>建设银行卡：（合肥建行嘉山路支行）</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621700163000 0817087</w:t>
            </w:r>
          </w:p>
        </w:tc>
      </w:tr>
      <w:tr>
        <w:tc>
          <w:tcPr>
            <w:tcW w:w="2310" w:type="dxa"/>
            <w:gridSpan w:val="3"/>
          </w:tcPr>
          <w:p>
            <w:pPr/>
            <w:r>
              <w:rPr>
                <w:lang w:val="zh-CN"/>
                <w:rFonts w:ascii="Times New Roman" w:hAnsi="Times New Roman" w:cs="Times New Roman"/>
                <w:sz w:val="20"/>
                <w:szCs w:val="20"/>
                <w:color w:val="000000"/>
              </w:rPr>
              <w:t>工商银行信用卡：（柜台免手续费）</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370247042560382</w:t>
            </w:r>
          </w:p>
        </w:tc>
      </w:tr>
      <w:tr>
        <w:tc>
          <w:tcPr>
            <w:tcW w:w="2310" w:type="dxa"/>
            <w:gridSpan w:val="3"/>
          </w:tcPr>
          <w:p>
            <w:pPr/>
            <w:r>
              <w:rPr>
                <w:lang w:val="zh-CN"/>
                <w:rFonts w:ascii="Times New Roman" w:hAnsi="Times New Roman" w:cs="Times New Roman"/>
                <w:sz w:val="20"/>
                <w:szCs w:val="20"/>
                <w:color w:val="000000"/>
              </w:rPr>
              <w:t>支付宝平台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gridSpan w:val="3"/>
          </w:tcPr>
          <w:p>
            <w:pPr/>
            <w:r>
              <w:rPr>
                <w:lang w:val="zh-CN"/>
                <w:rFonts w:ascii="Times New Roman" w:hAnsi="Times New Roman" w:cs="Times New Roman"/>
                <w:sz w:val="20"/>
                <w:szCs w:val="20"/>
                <w:color w:val="000000"/>
              </w:rPr>
              <w:t>微信收款平台</w:t>
            </w:r>
          </w:p>
        </w:tc>
        <w:tc>
          <w:tcPr>
            <w:tcW w:w="2310" w:type="dxa"/>
            <w:gridSpan w:val="2"/>
          </w:tcPr>
          <w:p>
            <w:pPr/>
            <w:r>
              <w:rPr>
                <w:lang w:val="zh-CN"/>
                <w:rFonts w:ascii="Times New Roman" w:hAnsi="Times New Roman" w:cs="Times New Roman"/>
                <w:sz w:val="20"/>
                <w:szCs w:val="20"/>
                <w:color w:val="000000"/>
              </w:rPr>
              <w:t>刘绍山</w:t>
            </w:r>
          </w:p>
        </w:tc>
        <w:tc>
          <w:tcPr>
            <w:tcW w:w="2310" w:type="dxa"/>
            <w:gridSpan w:val="3"/>
          </w:tcPr>
          <w:p>
            <w:pPr/>
            <w:r>
              <w:rPr>
                <w:lang w:val="zh-CN"/>
                <w:rFonts w:ascii="Times New Roman" w:hAnsi="Times New Roman" w:cs="Times New Roman"/>
                <w:sz w:val="20"/>
                <w:szCs w:val="20"/>
                <w:color w:val="000000"/>
              </w:rPr>
              <w:t>15005603366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2024/02/10</w:t>
            </w:r>
          </w:p>
        </w:tc>
        <w:tc>
          <w:tcPr>
            <w:tcW w:w="2310" w:type="dxa"/>
            <w:gridSpan w:val="7"/>
          </w:tcPr>
          <w:p>
            <w:pPr/>
            <w:r>
              <w:rPr>
                <w:lang w:val="zh-CN"/>
                <w:rFonts w:ascii="Times New Roman" w:hAnsi="Times New Roman" w:cs="Times New Roman"/>
                <w:b/>
                <w:color w:val="000000"/>
              </w:rPr>
              <w:t>合肥-广州(飞机)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贵宾抵达广州【本日大交通时间不受限制，专车迎接随到随走】--前往酒店报贵宾名字取房入住，自由活动！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2024/02/11</w:t>
            </w:r>
          </w:p>
        </w:tc>
        <w:tc>
          <w:tcPr>
            <w:tcW w:w="2310" w:type="dxa"/>
            <w:gridSpan w:val="7"/>
          </w:tcPr>
          <w:p>
            <w:pPr/>
            <w:r>
              <w:rPr>
                <w:lang w:val="zh-CN"/>
                <w:rFonts w:ascii="Times New Roman" w:hAnsi="Times New Roman" w:cs="Times New Roman"/>
                <w:b/>
                <w:color w:val="000000"/>
              </w:rPr>
              <w:t>珠海(巴士)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早上08:30分酒店出发，前往百岛之市、浪漫之都珠海。--抵达后游览【珠海长隆海洋王国】长隆海洋王国荣获由主题娱乐协会(TEA)颁发2014年度的「主题公园杰出成就奖」，让您尽享精彩体验！长隆海洋王国位于珠海横琴长隆国际海洋度假区，呈献至大的水族馆，让您与珍稀的鲸鲨、白鲸、北极熊和其它可爱动物见面！【拥有五项世界记录的海洋鱼类展馆】 高达68米的鲸鯊馆，拥有水体达3.1万立方米的水族箱，给你带来前所未有的感官体验。馆内饲养了不同品种的珍奇鱼类多达15,000条，运用先进的无缝技术连接，带来震撼的海底奇观！【刺激飞行过山车】近1,300米的鸚鵡过山车，楼高近20层，给您空中自由翱翔的快感！ 【亚洲难得一见的冰山主题过山车】外型独特的冰山主题过山车轨道长近千米，高达23米，带您上天入海，穿越白色的冰雪世界，感受无尽乐趣！【海洋主题花车巡游】多辆大型主题巡游花车，演员阵容鼎盛，展现美人鱼、海龟、章鱼、巨鲸、极地游戏、潜水艇等元素，让大人和小朋友一起载歌载舞！--晚上特别安排观看【烟花汇演】首次将大型无人机演出引入主题乐园，完美结合无人机、烟花表演、激光秀、喷泉汇演、水上飞人、摩托艇特技六大元素，逼真的海空大战赢得全场的惊呼和掌声!--游览完毕后，前往酒店办理入住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2024/02/12</w:t>
            </w:r>
          </w:p>
        </w:tc>
        <w:tc>
          <w:tcPr>
            <w:tcW w:w="2310" w:type="dxa"/>
            <w:gridSpan w:val="7"/>
          </w:tcPr>
          <w:p>
            <w:pPr/>
            <w:r>
              <w:rPr>
                <w:lang w:val="zh-CN"/>
                <w:rFonts w:ascii="Times New Roman" w:hAnsi="Times New Roman" w:cs="Times New Roman"/>
                <w:b/>
                <w:color w:val="000000"/>
              </w:rPr>
              <w:t>珠海-广州(巴士)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集合出发--前往游船观看【港珠澳大桥】乘坐市政大型邮轮，游客从湾仔旅游码头登上专业观光游船，沿途既可以欣赏到“浪漫之城”珠海的美丽景色，惊叹经济特区改革开放所取得的丰硕成果，也可一睹“东方蒙特卡罗”的迷人风采。--前往【珠海日月贝】在珠海是珠海最大的一家剧场，也是坐落在广东沿海的一家大型剧场。这是一个有一大一小两个“贝壳”组成的漂亮、动听的图案，又叫“日月贝”。--前往【珠海渔女】位于珠海市香炉湾畔，这尊珠海渔女雕像有8.7米高，重量10吨，用花岗岩石分70件组合而成，是中国著名雕塑家潘鹤的杰作。渔女雕像已成为珠海市的象征，是珠海一处著名的免费的旅游景点。--享用中餐--前往广州【北京路步行街】可以看到岭南风情的骑楼建筑，这里相当于上海的南京路，人们来此吃饭逛街，感受广东老街热闹的景象。街上有美食无数，是吃货们的天堂。--前往酒店，办理入住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vAlign w:val="center"/>
            <w:vMerge w:val="restart"/>
          </w:tcPr>
          <w:p>
            <w:pPr/>
            <w:r>
              <w:rPr>
                <w:lang w:val="zh-CN"/>
                <w:rFonts w:ascii="Times New Roman" w:hAnsi="Times New Roman" w:cs="Times New Roman"/>
                <w:sz w:val="20"/>
                <w:szCs w:val="20"/>
                <w:color w:val="000000"/>
              </w:rPr>
              <w:t>2024/02/13</w:t>
            </w:r>
          </w:p>
        </w:tc>
        <w:tc>
          <w:tcPr>
            <w:tcW w:w="2310" w:type="dxa"/>
            <w:gridSpan w:val="7"/>
          </w:tcPr>
          <w:p>
            <w:pPr/>
            <w:r>
              <w:rPr>
                <w:lang w:val="zh-CN"/>
                <w:rFonts w:ascii="Times New Roman" w:hAnsi="Times New Roman" w:cs="Times New Roman"/>
                <w:b/>
                <w:color w:val="000000"/>
              </w:rPr>
              <w:t>广州(巴士)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集合出发--前往【广州长隆动物园】这里以“保护野生动物、普及环境教育”为宗旨，以大规模野生动物种群放养和自驾车观赏为特色，被誉为中国综合规模最大，最具有国际水平的国家级野生动物世界。园区分为乘车游览区【小火车】和【步行游览区】两大部分，乘车游览区位于西半部，大规模放养各种野生动物；步行游览区位于东半部饲养展出来自世界各地的珍稀动物。园区面积占地2000多亩,园区拥有14只大熊猫、57只树熊（考拉）、近250多只白虎等世界各国国宝在内的500多种、20,000余只珍奇动物，园区内的珍稀动物物种，以种群的形式生存，使得整个物种得以繁衍生息；长隆野生动物世界一直强调自身科普教育功能,在长隆野生动物世界，保护动物的理念随处可见，集讲解与动于一身的动物科普驿站、图文并茂的动物说明牌、内容丰富的科普长廊、生动有趣的动物学堂、充满温情的儿童动物王国、图文并茂动物解说牌和环保知识牌，会说话的垃圾桶……使游园的客人切身感受到了保护动物、保护生态环境的重要性。--游览完毕后，返回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早餐：含；午餐：不含；晚餐：不含；住宿：团队标间</w:t>
            </w:r>
          </w:p>
        </w:tc>
      </w:tr>
      <w:tr>
        <w:tc>
          <w:tcPr>
            <w:tcW w:w="2310" w:type="dxa"/>
            <w:vAlign w:val="center"/>
            <w:vMerge w:val="restart"/>
          </w:tcPr>
          <w:p>
            <w:pPr/>
            <w:r>
              <w:rPr>
                <w:lang w:val="zh-CN"/>
                <w:rFonts w:ascii="Times New Roman" w:hAnsi="Times New Roman" w:cs="Times New Roman"/>
                <w:sz w:val="20"/>
                <w:szCs w:val="20"/>
                <w:color w:val="000000"/>
              </w:rPr>
              <w:t>2024/02/14</w:t>
            </w:r>
          </w:p>
        </w:tc>
        <w:tc>
          <w:tcPr>
            <w:tcW w:w="2310" w:type="dxa"/>
            <w:gridSpan w:val="7"/>
          </w:tcPr>
          <w:p>
            <w:pPr/>
            <w:r>
              <w:rPr>
                <w:lang w:val="zh-CN"/>
                <w:rFonts w:ascii="Times New Roman" w:hAnsi="Times New Roman" w:cs="Times New Roman"/>
                <w:b/>
                <w:color w:val="000000"/>
              </w:rPr>
              <w:t>广州-合肥(飞机)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集合出发--乘车前往『广州长隆欢乐世界』国内游乐设备最丰富的游乐园。长隆欢乐世界创造了游乐设备的四项亚洲第一：其中十环过山车是亚洲首台、全世界第二台（仅在英国有一台）、亚洲首次引进，单项设备投资超过人民币一亿元，该设备打破游乐设备环数最多的世界记录，并创造了世界吉尼斯记录。投资达五千万的摩托过山车是东半球首台，其时速0到80公里弹射式加速仅需2.8秒，可与F1赛车速度相媲美，并获得世界游乐行业协会年度设计金奖。U型滑板也是亚洲第一台，30多米高的巨型滑板，急速下滑与急速旋转双重体验，是园内最刺激的游乐设备之一。号称“世界水上游乐之王”、老少皆宜的水车大战也是亚洲第一台。除游乐项目外，园区内全天还有魔幻、杂技、歌舞以及大型巡游等多种表演节目供游客观看！--游览完毕后，送团结束愉快旅程！【建议本日广州机场安排19点后航班）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出发地往返广州经济舱含税/全程空调大巴服务，保证每人1正座用餐全程4早餐+1正餐门票行程中所列景点大门票住宿全程4晚携程4钻品质住宿导游全程优秀导游服务赠送每人每天1瓶水、每组家庭1份岭南福袋、每人1份财神利是、儿童每人1份盲盒儿童含出发地往返广州经济舱含税/当地1米以下儿童只含往返机票、当地车费、导服、其它产生自理。1米-1.5米儿童只含往返机票、当地车费、导服、门票、其它产生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单房差：全程入住酒店产生的单房差及加床费用；不占床位游客不含早餐；2、旅游意外保险及航空保险（建议旅游者购买）；3、因交通延误等不可抗力原因导致的额外费用；4、因自身违约、自身过错、自身疾病等自身原因导致的人身财产损失而额外支付的费用；5、行程中未提到的其它费用：如特殊门票、游船（轮）、缆车、景区内电瓶车、动车票等费用；6、因气候或飞机、车辆、船只等交通工具发生故障导致时间延误或行程更改引起的经济损失和责任。7、行李在航班托运期间的造成损坏的经济损失和责任。8、“旅游费用包含”内容以外的所有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在不减少景点的前提下，我社保留根据航班、车次、天气、节假日等具体情况变更行程顺序的权利。重要提醒：由于区域、航班等市场价格变动大，同样的产品不同的时间报名均可能出现价格差异，旅客报名即视为同意此价格，因此我社一律不受理因为价格不同而产生的投诉事宜；为了增强游客安全意识，普及旅游安全基本常识，使游客参加活动的计划圆满、愉快、顺利地完成，提示内容如下：1.游客在乘车途中，不要将头、手、脚或行李物品伸出窗外，以防意外发生。2.游客下车浏览、就餐、购物时，请注意关好旅游车窗，拿完自己随身携带的贵重物品；否则出现遗失被盗损失客人自负。3.注意检查酒店为你所配备的用品（卫生间防滑垫等）是否齐全，有无破损，如有不全或破损，请立即向酒店服务员或导游报告。如因当地条件所限，未能配备，请游客小心谨慎，防止发生意外。4.贵重物品应存放于酒店服务总台保险柜或自行妥善保管，外出时不要放在房间内，若出现丢失，损失自负。5.游客入住酒店后需要外出时，应告知随团导游；在酒店总台领一张酒店房卡，卡片上有酒店地址、电话或抄写酒店地址或电话；如果您迷路时，可以按地址询问或搭乘出租车，安全顺利返回住所。6.经过危险地段（如陡峭、狭窄的同路、潮湿泛滑的道路等）不可拥挤；前往险峻处观光时应充分考虑自身的条件是否可行，不要强求和存侥幸心理。7.游客登山或参与活动中根据应自身身体状况进行，注意适当休息，避免过度激烈运动以及自身身体无法适应的活动，同时做好防护工作。8.在海边游泳时，必须在有相应安全配套设施的指定安全区域进行水上活动，并做好安全预防工作（如穿救生衣等），不单独前往深水水域或危险河道；在江河、湖海、水库浏览或活动时，注意乘船安全要穿戴救生衣。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11.在景点内娱乐时，应根据自身的条件参与适应的项目；在自由活动期间外出娱乐活动不要单独行动。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13.在热闹拥挤的场所注意保管好自己的钱包、提包、贵重的物品及证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肖琴</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周佳</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14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2024/1/14 12:16:58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