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安徽景天国际旅行社有限公司团队/散客确认书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特会游花园社区门市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樊杰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17505527717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安徽景天国际旅行社有限公司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谢姣姣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13855135514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XIA05TR240324B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（东市）西安双卧5日游纯玩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2024-03-28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1、朱庆亮</w:t>
            </w:r>
          </w:p>
        </w:tc>
        <w:tc>
          <w:tcPr>
            <w:tcW w:w="2310" w:type="dxa"/>
            <w:vAlign w:val="center"/>
            <w:gridSpan w:val="2"/>
          </w:tcPr>
          <w:p>
            <w:pPr/>
            <w:r>
              <w:rPr>
                <w:lang w:val="zh-CN"/>
                <w:rFonts w:ascii="Times New Roman" w:hAnsi="Times New Roman" w:cs="Times New Roman"/>
                <w:sz w:val="20"/>
                <w:szCs w:val="20"/>
                <w:color w:val="000000"/>
              </w:rPr>
              <w:t>340304195702160619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2、吴玲</w:t>
            </w:r>
          </w:p>
        </w:tc>
        <w:tc>
          <w:tcPr>
            <w:tcW w:w="2310" w:type="dxa"/>
            <w:vAlign w:val="center"/>
            <w:gridSpan w:val="2"/>
          </w:tcPr>
          <w:p>
            <w:pPr/>
            <w:r>
              <w:rPr>
                <w:lang w:val="zh-CN"/>
                <w:rFonts w:ascii="Times New Roman" w:hAnsi="Times New Roman" w:cs="Times New Roman"/>
                <w:sz w:val="20"/>
                <w:szCs w:val="20"/>
                <w:color w:val="000000"/>
              </w:rPr>
              <w:t>34032219650909512X</w:t>
            </w:r>
          </w:p>
        </w:tc>
        <w:tc>
          <w:tcPr>
            <w:tcW w:w="2310" w:type="dxa"/>
            <w:vAlign w:val="center"/>
          </w:tcPr>
          <w:p>
            <w:pPr/>
            <w:r>
              <w:rPr>
                <w:lang w:val="zh-CN"/>
                <w:rFonts w:ascii="Times New Roman" w:hAnsi="Times New Roman" w:cs="Times New Roman"/>
                <w:sz w:val="20"/>
                <w:szCs w:val="20"/>
                <w:color w:val="000000"/>
              </w:rPr>
              <w:t>13865037751</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56.50</w:t>
            </w:r>
          </w:p>
        </w:tc>
        <w:tc>
          <w:tcPr>
            <w:tcW w:w="2310" w:type="dxa"/>
          </w:tcPr>
          <w:p>
            <w:pPr/>
            <w:r>
              <w:rPr>
                <w:lang w:val="zh-CN"/>
                <w:rFonts w:ascii="Times New Roman" w:hAnsi="Times New Roman" w:cs="Times New Roman"/>
                <w:sz w:val="20"/>
                <w:szCs w:val="20"/>
                <w:color w:val="000000"/>
              </w:rPr>
              <w:t>113.00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总金额：壹佰壹拾叁元整</w:t>
            </w:r>
          </w:p>
        </w:tc>
        <w:tc>
          <w:tcPr>
            <w:tcW w:w="2310" w:type="dxa"/>
            <w:textDirection w:val="right"/>
            <w:gridSpan w:val="3"/>
          </w:tcPr>
          <w:p>
            <w:pPr/>
            <w:r>
              <w:rPr>
                <w:lang w:val="zh-CN"/>
                <w:rFonts w:ascii="Times New Roman" w:hAnsi="Times New Roman" w:cs="Times New Roman"/>
                <w:b/>
                <w:color w:val="FF0000"/>
              </w:rPr>
              <w:t>113.00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安徽景天国际旅行社有限公司</w:t>
            </w:r>
          </w:p>
        </w:tc>
        <w:tc>
          <w:tcPr>
            <w:tcW w:w="2310" w:type="dxa"/>
            <w:gridSpan w:val="2"/>
          </w:tcPr>
          <w:p>
            <w:pPr/>
            <w:r>
              <w:rPr>
                <w:lang w:val="zh-CN"/>
                <w:rFonts w:ascii="Times New Roman" w:hAnsi="Times New Roman" w:cs="Times New Roman"/>
                <w:sz w:val="20"/>
                <w:szCs w:val="20"/>
                <w:color w:val="000000"/>
              </w:rPr>
              <w:t>徽商银行合肥站北支行</w:t>
            </w:r>
          </w:p>
        </w:tc>
        <w:tc>
          <w:tcPr>
            <w:tcW w:w="2310" w:type="dxa"/>
            <w:gridSpan w:val="3"/>
          </w:tcPr>
          <w:p>
            <w:pPr/>
            <w:r>
              <w:rPr>
                <w:lang w:val="zh-CN"/>
                <w:rFonts w:ascii="Times New Roman" w:hAnsi="Times New Roman" w:cs="Times New Roman"/>
                <w:sz w:val="20"/>
                <w:szCs w:val="20"/>
                <w:color w:val="000000"/>
              </w:rPr>
              <w:t>1026301021000065788</w:t>
            </w:r>
          </w:p>
        </w:tc>
      </w:tr>
      <w:tr>
        <w:tc>
          <w:tcPr>
            <w:tcW w:w="2310" w:type="dxa"/>
            <w:gridSpan w:val="3"/>
          </w:tcPr>
          <w:p>
            <w:pPr/>
            <w:r>
              <w:rPr>
                <w:lang w:val="zh-CN"/>
                <w:rFonts w:ascii="Times New Roman" w:hAnsi="Times New Roman" w:cs="Times New Roman"/>
                <w:sz w:val="20"/>
                <w:szCs w:val="20"/>
                <w:color w:val="000000"/>
              </w:rPr>
              <w:t>徽商银行卡：（合肥市青年路支行）</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6228 7909 1000 0574 983</w:t>
            </w:r>
          </w:p>
        </w:tc>
      </w:tr>
      <w:tr>
        <w:tc>
          <w:tcPr>
            <w:tcW w:w="2310" w:type="dxa"/>
            <w:gridSpan w:val="3"/>
          </w:tcPr>
          <w:p>
            <w:pPr/>
            <w:r>
              <w:rPr>
                <w:lang w:val="zh-CN"/>
                <w:rFonts w:ascii="Times New Roman" w:hAnsi="Times New Roman" w:cs="Times New Roman"/>
                <w:sz w:val="20"/>
                <w:szCs w:val="20"/>
                <w:color w:val="000000"/>
              </w:rPr>
              <w:t>建设银行卡：（合肥建行嘉山路支行）</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621700163000 0817087</w:t>
            </w:r>
          </w:p>
        </w:tc>
      </w:tr>
      <w:tr>
        <w:tc>
          <w:tcPr>
            <w:tcW w:w="2310" w:type="dxa"/>
            <w:gridSpan w:val="3"/>
          </w:tcPr>
          <w:p>
            <w:pPr/>
            <w:r>
              <w:rPr>
                <w:lang w:val="zh-CN"/>
                <w:rFonts w:ascii="Times New Roman" w:hAnsi="Times New Roman" w:cs="Times New Roman"/>
                <w:sz w:val="20"/>
                <w:szCs w:val="20"/>
                <w:color w:val="000000"/>
              </w:rPr>
              <w:t>工商银行信用卡：（柜台免手续费）</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370247042560382</w:t>
            </w:r>
          </w:p>
        </w:tc>
      </w:tr>
      <w:tr>
        <w:tc>
          <w:tcPr>
            <w:tcW w:w="2310" w:type="dxa"/>
            <w:gridSpan w:val="3"/>
          </w:tcPr>
          <w:p>
            <w:pPr/>
            <w:r>
              <w:rPr>
                <w:lang w:val="zh-CN"/>
                <w:rFonts w:ascii="Times New Roman" w:hAnsi="Times New Roman" w:cs="Times New Roman"/>
                <w:sz w:val="20"/>
                <w:szCs w:val="20"/>
                <w:color w:val="000000"/>
              </w:rPr>
              <w:t>支付宝平台</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15005603366</w:t>
            </w:r>
          </w:p>
        </w:tc>
      </w:tr>
      <w:tr>
        <w:tc>
          <w:tcPr>
            <w:tcW w:w="2310" w:type="dxa"/>
            <w:gridSpan w:val="3"/>
          </w:tcPr>
          <w:p>
            <w:pPr/>
            <w:r>
              <w:rPr>
                <w:lang w:val="zh-CN"/>
                <w:rFonts w:ascii="Times New Roman" w:hAnsi="Times New Roman" w:cs="Times New Roman"/>
                <w:sz w:val="20"/>
                <w:szCs w:val="20"/>
                <w:color w:val="000000"/>
              </w:rPr>
              <w:t>微信收款平台</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15005603366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2024/03/24</w:t>
            </w:r>
          </w:p>
        </w:tc>
        <w:tc>
          <w:tcPr>
            <w:tcW w:w="2310" w:type="dxa"/>
            <w:gridSpan w:val="7"/>
          </w:tcPr>
          <w:p>
            <w:pPr/>
            <w:r>
              <w:rPr>
                <w:lang w:val="zh-CN"/>
                <w:rFonts w:ascii="Times New Roman" w:hAnsi="Times New Roman" w:cs="Times New Roman"/>
                <w:b/>
                <w:color w:val="000000"/>
              </w:rPr>
              <w:t>合肥-西安(火车)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请贵宾提前1小时抵达合肥火车站/合肥胜利路火车站乘火车赴西安、西安——古称“长安”，抵达后司机接客人送酒店休息。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推荐景点【陕西历史博物馆】、【西安博物院】、【碑林博物院】、网红景点【大唐不夜城】、【书院门】西安市美食攻略【小吃街】永兴坊地址：位于新城区小东门里 营业时间：12:00—22:00【夜市街】建东街地址：位于碑林区雁塔北路 营业时间：19:00—凌晨4:00【夜市街】东新街地址：位于新城区新城广场东侧 营业时间：19:00—凌晨4:00温馨提示：1、西安接站人员会提前给客人短信或电话联系，到达车站/机场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声音较大但并无恶意，请多多包涵。2、每天晚上22:00前旅行社工作人员会以短信或电话形式通知次日出行间和注意事项，请保持手机畅通，若22点前无人联系您，请联系出团通知书紧急联系人。  (参考车次合肥/西安K606次18：00-09：41或K2906次19:10--10:50或1041次21:47--10:25)</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2024/03/25</w:t>
            </w:r>
          </w:p>
        </w:tc>
        <w:tc>
          <w:tcPr>
            <w:tcW w:w="2310" w:type="dxa"/>
            <w:gridSpan w:val="7"/>
          </w:tcPr>
          <w:p>
            <w:pPr/>
            <w:r>
              <w:rPr>
                <w:lang w:val="zh-CN"/>
                <w:rFonts w:ascii="Times New Roman" w:hAnsi="Times New Roman" w:cs="Times New Roman"/>
                <w:b/>
                <w:color w:val="000000"/>
              </w:rPr>
              <w:t>西安(火车)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抵达后司机接客人送酒店休息。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2024/03/26</w:t>
            </w:r>
          </w:p>
        </w:tc>
        <w:tc>
          <w:tcPr>
            <w:tcW w:w="2310" w:type="dxa"/>
            <w:gridSpan w:val="7"/>
          </w:tcPr>
          <w:p>
            <w:pPr/>
            <w:r>
              <w:rPr>
                <w:lang w:val="zh-CN"/>
                <w:rFonts w:ascii="Times New Roman" w:hAnsi="Times New Roman" w:cs="Times New Roman"/>
                <w:b/>
                <w:color w:val="000000"/>
              </w:rPr>
              <w:t>西安-兵马俑-华清池(汽车)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出发，乘车(50公里1小时)赴临潼，参观最完整的中国唐文化标志性景区【唐·华清宫-骊山风景区】（自理：华清宫电瓶车往返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后参观世界文化遗产【秦始皇陵兵马俑博物院】（约2.5小时，电瓶车5元/人自理），这是世界上最大的“地下军事博物馆”世界考古史上最伟大的发现之一，堪称“世界第八大奇迹”，穿行在这些极具感染力的艺术品之间，历史似乎不再遥远。行程结束，可自费欣赏《驼铃传奇》（自理298-468元）会跑的实景演艺驼铃传奇秀，在编撰驼铃传奇的过程中，以"一带一路"为主线，深入挖掘大唐传统文化，追寻驼队丝绸之路上的踪迹，以正能量传播西安最辉煌历史时期的文化传奇。（自愿参加，不参加敬请等待团友参观结束一起返程）之后游览西安网红打卡地【大唐不夜城】。大唐不夜城以盛唐文化为背景，以唐风元素为主线打造的精美街区，邂逅不倒翁小姐姐，观看亚洲最大音乐喷泉等，穿越盛唐文化街区，体验各类唐文化主题节目。（若不参观大唐不夜城的游客需提前告知导游，协调安排送回酒店）。赠送：大秦印象VR体验馆，穿越时光隧道，走进大秦墓室，感受万箭齐发，神秘棺椁地，珠光宝气、日月星辰，百川江河，气势磅礴！身临其境，探索2000年前神秘与辉煌！（赠送项目不看不退）【特别安排】：陕西景区多为国家5A级无烟无噪音景区，为更加深入的了解秦唐文化，赠送兵马俑华清池双景区讲解耳麦，既尊重景区规定做文明旅游人，又紧跟导游步伐聆听历史的变革，不虚此行！(不用费用不退)【温馨提示】：  大唐不夜城为赠送项目，此活动在参观完自费演出后统一安排前往，因大唐不夜城街区特殊性，我社将安排客人自由活动，不安排导游和车辆等候，故客人可根据自身游览时间自行返回酒店。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2024/03/27</w:t>
            </w:r>
          </w:p>
        </w:tc>
        <w:tc>
          <w:tcPr>
            <w:tcW w:w="2310" w:type="dxa"/>
            <w:gridSpan w:val="7"/>
          </w:tcPr>
          <w:p>
            <w:pPr/>
            <w:r>
              <w:rPr>
                <w:lang w:val="zh-CN"/>
                <w:rFonts w:ascii="Times New Roman" w:hAnsi="Times New Roman" w:cs="Times New Roman"/>
                <w:b/>
                <w:color w:val="000000"/>
              </w:rPr>
              <w:t>西安市区-合肥(火车硬卧)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千年古刹之皇家寺院【大慈恩寺】（约2小时），拂尘净心，守望长安1300余年的大雁塔就坐落于此（如需登塔30元/人自理）。自唐代以来，文人墨客金榜题名加官进爵后，多到大慈恩寺礼佛。后来代代效仿，为求功成名就，提前祈愿，逐渐形成了雁塔题名祈福开运的风俗。之后游览亚洲最大的音乐喷泉广场——大雁塔北广场。后乘车至西安市中心——钟鼓楼广场，西安著名的坊上美食文化街区【回民街】（约1小时），青石铺路、绿树成荫，路两旁清一色仿明清建筑，西安风情的代表之一，距今已有上千年历史，其深厚的文化底蕴聚集了近 300种特色小吃，让人流连忘返，欲罢不能的魅力所在。回民街不是一条街道，而是一个街区。作为丝绸之路的起点，西安将炎黄子孙和西域文明链接起来，中国回民定居和文化融合，给此座城市蒙上一层异域的纱帘，神秘而古老。后结束愉快旅程！  （参考车次西安/合肥K2908次21：53-13：46或K658次22：07-12：06）</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2024/03/28</w:t>
            </w:r>
          </w:p>
        </w:tc>
        <w:tc>
          <w:tcPr>
            <w:tcW w:w="2310" w:type="dxa"/>
            <w:gridSpan w:val="7"/>
          </w:tcPr>
          <w:p>
            <w:pPr/>
            <w:r>
              <w:rPr>
                <w:lang w:val="zh-CN"/>
                <w:rFonts w:ascii="Times New Roman" w:hAnsi="Times New Roman" w:cs="Times New Roman"/>
                <w:b/>
                <w:color w:val="000000"/>
              </w:rPr>
              <w:t>温馨的家(火车)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1、交通：合肥往返西安火车硬卧/正规空调旅游车（根据人数用车，每人一正座，婴幼儿必须占座。）2、门票：景点首道门票（秦始皇陵兵马俑博物院、唐华清宫·骊山、大慈恩寺） 注：本产品线路已按景区门票优惠价执行。所有优惠证件需要通过景区验证，请带好相关证件并及时交予导游与景区确认，如遇景点优惠政策不统一的则按单独计算，免票产生保险自理。3、住宿：全程预备三星酒店住宿，4、用餐：2早1正餐（早餐为酒店早餐），不用餐费用不退备注：由于地域不同及餐标所限，用餐多有不合口味之处，可自带佐餐咸菜、干粮、小吃、矿泉水等食品，请做好心理准备，多多谅解。5、导服：提供地陪导游服务，不足6人（含6人）不提供专职导游服务，司机兼向导，不负责讲解6、保险：我社已承保旅行社责任险，强烈建议客人自行购买旅游意外险7、儿童：儿童含当地车费导服半餐，其它产生请自理！行程中所有赠送或升级的项目，不参加不退费不兑换现金。行程赠送项目及表演如遇特殊情况无法观看或游览不做退费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费用不含兵马俑景交5元/人、华清宫景交 20元/人、骊山索道往返60元/人、大雁塔登塔25元/人1.游客在当地自愿参加的自费项目，及服务标准中未包含的其它项目。2.酒店内洗衣、理发、电话、传真、收费电视、饮品、烟酒等个人消费。3.旅游人身意外保险、飞机机器故障、航班取消或更改时间等不可抗力原因所引致的额外费用。推荐自费1《驼铃传奇》会跑的大型实景演艺（自理298-468元，演出约70分钟）2《复活的军团》中国首部实景沉浸式多媒体战争史诗巨（自理258元，演出约70钟）3《12·12》西安事变大型实景影画、还原一个真实的历史（自理258元、演出70分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参考酒店准三参考酒店：西安准三：金瑞酒店，巴蜀酒店，索性酒店，汉都酒店，如家酒店，梅园宾馆，成功国际酒店，申鹏酒店、方欣如春酒店等同标准酒店；华山准三：御馨苑、华龙、聚鑫酒店、华侨 、田家四季、银河等同标准酒店；壶口准三：渭恒，黄河故事，黄土情等同标准酒店；准四参考酒店：西安准四：景玉和悦酒店、民幸酒店、川渝酒店，星宿酒店，南方酒店，景玉智能酒店，锐思特酒店。宜尚酒店，国力0酒店，锦苑富润酒店，元晟半岛酒店等同标准酒店；华山准四：荣苑、都市118、尚客优，爱尚居，花筑迹忆等同标准酒店；壶口准四：那个年代，知青文苑等同标准酒店；景区优惠对象：旅行社购票需凭游客身份证实名登记，请配合导游出示身份证。持相应有效优惠证件，当地产生优惠门票，导游优惠折扣现退。半票对象：全日制学生，持本人已在校注册的有效学生证；儿童身高1.2-1.4米为半票。免票对象：1?儿童身高1.2米以下免票。2?65周岁以上持本人有效身份证免票。3?持有效残疾证、现役军人（军官）证免票。4?秦始皇陵兵马俑博物院由家长携带的16岁及以下未成年人免票。注：本产品线路已按景区门票优惠价执行。所有优惠证件需要通过景区验证，请带好相关证件并及时交予导游与景区确认，如遇景点优惠政策不统一的则按单独计算，免票产生保险自理。西安注意事项：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3、西安大部分酒店无法提供三人间或加床，如遇自然单人住一间房，须按提前抵达或延住的房价补付房差。4、西安旅游团队及会议较多，旅游车常常入不敷出，旺季时会出现“套车”，如遇交通拥堵，则容易出现游客等车的情况；餐厅也存在排队等候用餐的现象，请您给予理解和配合，耐心等待，谢谢！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6、因客人原因中途自行离团或更改行程，视为自动放弃，旅行社无法退还任何费用，因此而产生的其他费用及安全等问题由客人自行承担。7、因人力不可抗拒因素造成的滞留及产生的费用由客人自理（如飞机/火车延误、自然灾害等）。8、请游客务必注意自身安全，贵重物品随身携带！！不要将贵重物品滞留在酒店或旅游车内！在旅游途中请保管好个人的财物，如因个人保管不当发生损失，旅行社不承担赔偿责任。9、旅行社不推荐游客参加人身安全不确定的活动，如游客擅自行动而产生的后果，旅行社不承担责任。10、游客必须保证自身身体健康良好的前提下，参加旅行社安排的旅游行程，不得欺骗隐瞒，若因游客身体不适而发生任何意外，旅行社不承担责任。11、报名时请提供旅游者的真实姓名与常用手机号，以便工作人员及时联系。建议游客自行购买意外保险。12、出发时须随身携带有效身份证件，如因未携带有效身份证件造成无法办理登机、乘坐火车、入住酒店等损失，游客须自行承担责任。13、雨季天气时请注意各景区的路况。餐厅用餐及酒店沐浴时，请注意地面，小心滑倒！</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樊杰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谢姣姣</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2024/3/20 11:56:47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