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云南寻美国旅团队/散客确认书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云南空港国际旅业有限公司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左黎娜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13108675330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云南寻美国际旅行社有限公司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何世祥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13378842405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ZJ-06FJ241127A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仙本那-卡帕莱酒店考察团5天6晚（内部版）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2024-11-27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4980.00</w:t>
            </w:r>
          </w:p>
        </w:tc>
        <w:tc>
          <w:tcPr>
            <w:tcW w:w="2310" w:type="dxa"/>
          </w:tcPr>
          <w:p>
            <w:pPr/>
            <w:r>
              <w:rPr>
                <w:lang w:val="zh-CN"/>
                <w:rFonts w:ascii="Times New Roman" w:hAnsi="Times New Roman" w:cs="Times New Roman"/>
                <w:sz w:val="20"/>
                <w:szCs w:val="20"/>
                <w:color w:val="000000"/>
              </w:rPr>
              <w:t>4980.00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总金额：肆仟玖佰捌拾元整</w:t>
            </w:r>
          </w:p>
        </w:tc>
        <w:tc>
          <w:tcPr>
            <w:tcW w:w="2310" w:type="dxa"/>
            <w:textDirection w:val="right"/>
            <w:gridSpan w:val="3"/>
          </w:tcPr>
          <w:p>
            <w:pPr/>
            <w:r>
              <w:rPr>
                <w:lang w:val="zh-CN"/>
                <w:rFonts w:ascii="Times New Roman" w:hAnsi="Times New Roman" w:cs="Times New Roman"/>
                <w:b/>
                <w:color w:val="FF0000"/>
              </w:rPr>
              <w:t>4980.00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红河新飞扬国际旅行社有限公司昆明分公司</w:t>
            </w:r>
          </w:p>
        </w:tc>
        <w:tc>
          <w:tcPr>
            <w:tcW w:w="2310" w:type="dxa"/>
            <w:gridSpan w:val="2"/>
          </w:tcPr>
          <w:p>
            <w:pPr/>
            <w:r>
              <w:rPr>
                <w:lang w:val="zh-CN"/>
                <w:rFonts w:ascii="Times New Roman" w:hAnsi="Times New Roman" w:cs="Times New Roman"/>
                <w:sz w:val="20"/>
                <w:szCs w:val="20"/>
                <w:color w:val="000000"/>
              </w:rPr>
              <w:t>红河新飞扬国际旅行社有限公司昆明分公司</w:t>
            </w:r>
          </w:p>
        </w:tc>
        <w:tc>
          <w:tcPr>
            <w:tcW w:w="2310" w:type="dxa"/>
            <w:gridSpan w:val="3"/>
          </w:tcPr>
          <w:p>
            <w:pPr/>
            <w:r>
              <w:rPr>
                <w:lang w:val="zh-CN"/>
                <w:rFonts w:ascii="Times New Roman" w:hAnsi="Times New Roman" w:cs="Times New Roman"/>
                <w:sz w:val="20"/>
                <w:szCs w:val="20"/>
                <w:color w:val="000000"/>
              </w:rPr>
              <w:t>2502013209200070513</w:t>
            </w:r>
          </w:p>
        </w:tc>
      </w:tr>
      <w:tr>
        <w:tc>
          <w:tcPr>
            <w:tcW w:w="2310" w:type="dxa"/>
            <w:gridSpan w:val="3"/>
          </w:tcPr>
          <w:p>
            <w:pPr/>
            <w:r>
              <w:rPr>
                <w:lang w:val="zh-CN"/>
                <w:rFonts w:ascii="Times New Roman" w:hAnsi="Times New Roman" w:cs="Times New Roman"/>
                <w:sz w:val="20"/>
                <w:szCs w:val="20"/>
                <w:color w:val="000000"/>
              </w:rPr>
              <w:t>中信银行昆明春城路支行</w:t>
            </w:r>
          </w:p>
        </w:tc>
        <w:tc>
          <w:tcPr>
            <w:tcW w:w="2310" w:type="dxa"/>
            <w:gridSpan w:val="2"/>
          </w:tcPr>
          <w:p>
            <w:pPr/>
            <w:r>
              <w:rPr>
                <w:lang w:val="zh-CN"/>
                <w:rFonts w:ascii="Times New Roman" w:hAnsi="Times New Roman" w:cs="Times New Roman"/>
                <w:sz w:val="20"/>
                <w:szCs w:val="20"/>
                <w:color w:val="000000"/>
              </w:rPr>
              <w:t>云南海峡国际旅行社有限公司</w:t>
            </w:r>
          </w:p>
        </w:tc>
        <w:tc>
          <w:tcPr>
            <w:tcW w:w="2310" w:type="dxa"/>
            <w:gridSpan w:val="3"/>
          </w:tcPr>
          <w:p>
            <w:pPr/>
            <w:r>
              <w:rPr>
                <w:lang w:val="zh-CN"/>
                <w:rFonts w:ascii="Times New Roman" w:hAnsi="Times New Roman" w:cs="Times New Roman"/>
                <w:sz w:val="20"/>
                <w:szCs w:val="20"/>
                <w:color w:val="000000"/>
              </w:rPr>
              <w:t>8111901012200442051</w:t>
            </w:r>
          </w:p>
        </w:tc>
      </w:tr>
      <w:tr>
        <w:tc>
          <w:tcPr>
            <w:tcW w:w="2310" w:type="dxa"/>
            <w:gridSpan w:val="3"/>
          </w:tcPr>
          <w:p>
            <w:pPr/>
            <w:r>
              <w:rPr>
                <w:lang w:val="zh-CN"/>
                <w:rFonts w:ascii="Times New Roman" w:hAnsi="Times New Roman" w:cs="Times New Roman"/>
                <w:sz w:val="20"/>
                <w:szCs w:val="20"/>
                <w:color w:val="000000"/>
              </w:rPr>
              <w:t>招商银行昆明东站支行</w:t>
            </w:r>
          </w:p>
        </w:tc>
        <w:tc>
          <w:tcPr>
            <w:tcW w:w="2310" w:type="dxa"/>
            <w:gridSpan w:val="2"/>
          </w:tcPr>
          <w:p>
            <w:pPr/>
            <w:r>
              <w:rPr>
                <w:lang w:val="zh-CN"/>
                <w:rFonts w:ascii="Times New Roman" w:hAnsi="Times New Roman" w:cs="Times New Roman"/>
                <w:sz w:val="20"/>
                <w:szCs w:val="20"/>
                <w:color w:val="000000"/>
              </w:rPr>
              <w:t>金媛媛</w:t>
            </w:r>
          </w:p>
        </w:tc>
        <w:tc>
          <w:tcPr>
            <w:tcW w:w="2310" w:type="dxa"/>
            <w:gridSpan w:val="3"/>
          </w:tcPr>
          <w:p>
            <w:pPr/>
            <w:r>
              <w:rPr>
                <w:lang w:val="zh-CN"/>
                <w:rFonts w:ascii="Times New Roman" w:hAnsi="Times New Roman" w:cs="Times New Roman"/>
                <w:sz w:val="20"/>
                <w:szCs w:val="20"/>
                <w:color w:val="000000"/>
              </w:rPr>
              <w:t>6214858717553416</w:t>
            </w:r>
          </w:p>
        </w:tc>
      </w:tr>
      <w:tr>
        <w:tc>
          <w:tcPr>
            <w:tcW w:w="2310" w:type="dxa"/>
            <w:gridSpan w:val="3"/>
          </w:tcPr>
          <w:p>
            <w:pPr/>
            <w:r>
              <w:rPr>
                <w:lang w:val="zh-CN"/>
                <w:rFonts w:ascii="Times New Roman" w:hAnsi="Times New Roman" w:cs="Times New Roman"/>
                <w:sz w:val="20"/>
                <w:szCs w:val="20"/>
                <w:color w:val="000000"/>
              </w:rPr>
              <w:t>建设银行佳华支行</w:t>
            </w:r>
          </w:p>
        </w:tc>
        <w:tc>
          <w:tcPr>
            <w:tcW w:w="2310" w:type="dxa"/>
            <w:gridSpan w:val="2"/>
          </w:tcPr>
          <w:p>
            <w:pPr/>
            <w:r>
              <w:rPr>
                <w:lang w:val="zh-CN"/>
                <w:rFonts w:ascii="Times New Roman" w:hAnsi="Times New Roman" w:cs="Times New Roman"/>
                <w:sz w:val="20"/>
                <w:szCs w:val="20"/>
                <w:color w:val="000000"/>
              </w:rPr>
              <w:t>黄丽华</w:t>
            </w:r>
          </w:p>
        </w:tc>
        <w:tc>
          <w:tcPr>
            <w:tcW w:w="2310" w:type="dxa"/>
            <w:gridSpan w:val="3"/>
          </w:tcPr>
          <w:p>
            <w:pPr/>
            <w:r>
              <w:rPr>
                <w:lang w:val="zh-CN"/>
                <w:rFonts w:ascii="Times New Roman" w:hAnsi="Times New Roman" w:cs="Times New Roman"/>
                <w:sz w:val="20"/>
                <w:szCs w:val="20"/>
                <w:color w:val="000000"/>
              </w:rPr>
              <w:t>6217 0038 6003 5623 659</w:t>
            </w:r>
          </w:p>
        </w:tc>
      </w:tr>
      <w:tr>
        <w:tc>
          <w:tcPr>
            <w:tcW w:w="2310" w:type="dxa"/>
            <w:gridSpan w:val="3"/>
          </w:tcPr>
          <w:p>
            <w:pPr/>
            <w:r>
              <w:rPr>
                <w:lang w:val="zh-CN"/>
                <w:rFonts w:ascii="Times New Roman" w:hAnsi="Times New Roman" w:cs="Times New Roman"/>
                <w:sz w:val="20"/>
                <w:szCs w:val="20"/>
                <w:color w:val="000000"/>
              </w:rPr>
              <w:t>广发银行昆明第一支行</w:t>
            </w:r>
          </w:p>
        </w:tc>
        <w:tc>
          <w:tcPr>
            <w:tcW w:w="2310" w:type="dxa"/>
            <w:gridSpan w:val="2"/>
          </w:tcPr>
          <w:p>
            <w:pPr/>
            <w:r>
              <w:rPr>
                <w:lang w:val="zh-CN"/>
                <w:rFonts w:ascii="Times New Roman" w:hAnsi="Times New Roman" w:cs="Times New Roman"/>
                <w:sz w:val="20"/>
                <w:szCs w:val="20"/>
                <w:color w:val="000000"/>
              </w:rPr>
              <w:t>云南寻美国际旅行社有限公司</w:t>
            </w:r>
          </w:p>
        </w:tc>
        <w:tc>
          <w:tcPr>
            <w:tcW w:w="2310" w:type="dxa"/>
            <w:gridSpan w:val="3"/>
          </w:tcPr>
          <w:p>
            <w:pPr/>
            <w:r>
              <w:rPr>
                <w:lang w:val="zh-CN"/>
                <w:rFonts w:ascii="Times New Roman" w:hAnsi="Times New Roman" w:cs="Times New Roman"/>
                <w:sz w:val="20"/>
                <w:szCs w:val="20"/>
                <w:color w:val="000000"/>
              </w:rPr>
              <w:t>9550 8800 3115 3400 101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2024/11/27</w:t>
            </w:r>
          </w:p>
        </w:tc>
        <w:tc>
          <w:tcPr>
            <w:tcW w:w="2310" w:type="dxa"/>
            <w:gridSpan w:val="7"/>
          </w:tcPr>
          <w:p>
            <w:pPr/>
            <w:r>
              <w:rPr>
                <w:lang w:val="zh-CN"/>
                <w:rFonts w:ascii="Times New Roman" w:hAnsi="Times New Roman" w:cs="Times New Roman"/>
                <w:b/>
                <w:color w:val="000000"/>
              </w:rPr>
              <w:t>第一天： 昆明机场集合</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昆明机场2330集合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2024/11/28</w:t>
            </w:r>
          </w:p>
        </w:tc>
        <w:tc>
          <w:tcPr>
            <w:tcW w:w="2310" w:type="dxa"/>
            <w:gridSpan w:val="7"/>
          </w:tcPr>
          <w:p>
            <w:pPr/>
            <w:r>
              <w:rPr>
                <w:lang w:val="zh-CN"/>
                <w:rFonts w:ascii="Times New Roman" w:hAnsi="Times New Roman" w:cs="Times New Roman"/>
                <w:b/>
                <w:color w:val="000000"/>
              </w:rPr>
              <w:t>第二天：昆明-亚庇-斗湖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飞亚庇后转机搭乘航班飞往斗湖，落地后接机，前往仙本那小镇。打卡仙本那小镇，实现海鲜自由！【仙本那】(Semporna)位于马来西亚沙巴州的东海岸,是沙巴州斗湖省的一个县。仙本那,原本只是马来西亚一座小渔村,甚至在地图上都寻不到它，现在却成为【海底世界旅游中心】，抵达仙本那进行休息，傍晚讲解游览仙本那镇上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早餐：；午餐：；晚餐：包含；住宿：仙本那镇上精品酒店</w:t>
            </w:r>
          </w:p>
        </w:tc>
      </w:tr>
      <w:tr>
        <w:tc>
          <w:tcPr>
            <w:tcW w:w="2310" w:type="dxa"/>
            <w:vAlign w:val="center"/>
            <w:vMerge w:val="restart"/>
          </w:tcPr>
          <w:p>
            <w:pPr/>
            <w:r>
              <w:rPr>
                <w:lang w:val="zh-CN"/>
                <w:rFonts w:ascii="Times New Roman" w:hAnsi="Times New Roman" w:cs="Times New Roman"/>
                <w:sz w:val="20"/>
                <w:szCs w:val="20"/>
                <w:color w:val="000000"/>
              </w:rPr>
              <w:t>2024/11/29</w:t>
            </w:r>
          </w:p>
        </w:tc>
        <w:tc>
          <w:tcPr>
            <w:tcW w:w="2310" w:type="dxa"/>
            <w:gridSpan w:val="7"/>
          </w:tcPr>
          <w:p>
            <w:pPr/>
            <w:r>
              <w:rPr>
                <w:lang w:val="zh-CN"/>
                <w:rFonts w:ascii="Times New Roman" w:hAnsi="Times New Roman" w:cs="Times New Roman"/>
                <w:b/>
                <w:color w:val="000000"/>
              </w:rPr>
              <w:t>第三天：前往卡帕莱水屋，之后自由活动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09点左右前往码头登记，后乘船（约45分钟）前往卡帕莱，于度假村享用午餐后自由活动，15:00后入住酒店,可享受度假村酒店设施，各种摆拍，美爆朋友圈;或前往酒店潜水中心自由浮潜（注：下海需穿溯溪鞋以免被贝壳等划伤，度假村无公用浮潜用具，请自备或于度假村租赁）卡帕来度假村享有国际级别网红海上仙境、蜜月天堂、度假圣地；日出、日落、星空最佳观赏点等美誉。度假村位于马来西亚的风下之乡—沙巴州东南沿海的一片水域上，离仙本那小镇45分钟船程，离世界著名的潜水胜地西巴丹岛15分钟船程。度假村建于暗礁上面，客房则由建在水上的高跷别墅小屋组成，是马来西亚建筑风格，既坚固又通风，是一座名副其实的水上天堂。度假村拥有人造沙滩、可容纳300人用餐的水上餐厅（马来西亚最大）、潜水中心提供水肺培训全系课程，浮潜、水下摄影、皮划艇、玻璃船等水上运动项目；一价全包式度假体验，360度海景水上别墅，无需空调、无需时钟、无需网络，在这里只有看不完的美景，真正的度假天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早餐：包含；午餐：包含；晚餐：包含；住宿：卡帕莱水屋度假村</w:t>
            </w:r>
          </w:p>
        </w:tc>
      </w:tr>
      <w:tr>
        <w:tc>
          <w:tcPr>
            <w:tcW w:w="2310" w:type="dxa"/>
            <w:vAlign w:val="center"/>
            <w:vMerge w:val="restart"/>
          </w:tcPr>
          <w:p>
            <w:pPr/>
            <w:r>
              <w:rPr>
                <w:lang w:val="zh-CN"/>
                <w:rFonts w:ascii="Times New Roman" w:hAnsi="Times New Roman" w:cs="Times New Roman"/>
                <w:sz w:val="20"/>
                <w:szCs w:val="20"/>
                <w:color w:val="000000"/>
              </w:rPr>
              <w:t>2024/11/30</w:t>
            </w:r>
          </w:p>
        </w:tc>
        <w:tc>
          <w:tcPr>
            <w:tcW w:w="2310" w:type="dxa"/>
            <w:gridSpan w:val="7"/>
          </w:tcPr>
          <w:p>
            <w:pPr/>
            <w:r>
              <w:rPr>
                <w:lang w:val="zh-CN"/>
                <w:rFonts w:ascii="Times New Roman" w:hAnsi="Times New Roman" w:cs="Times New Roman"/>
                <w:b/>
                <w:color w:val="000000"/>
              </w:rPr>
              <w:t>第四天：卡帕莱-镇上-红树林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午餐后，搭乘1330的船离岛，送码头，后入住镇上酒店之后参加【红树林+萤火虫之旅一日游】后参加红树林萤火虫半日游3.30-4pm接载客人4.15pm抵达红树林，享用中西式茶点4.45-5pm出发寻找猴子,包括長臂猴。葉子猴。長尾猴鱷魚。白鹤。水瀨和喂饲老鷹约一个半小时，在港口欣賞日落和一小段体验海釣。6.30pm左右去萤火虫基地觀賞在紅樹林裡發亮的小精灵天空的滿天星水里的藍眼淚。7.00pm左右回到红树林享用自助式海鲜晚餐8:00pm回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早餐：早餐：酒店自助餐 ；午餐：包含；晚餐：包含；住宿：仙本那镇上精品酒店</w:t>
            </w:r>
          </w:p>
        </w:tc>
      </w:tr>
      <w:tr>
        <w:tc>
          <w:tcPr>
            <w:tcW w:w="2310" w:type="dxa"/>
            <w:vAlign w:val="center"/>
            <w:vMerge w:val="restart"/>
          </w:tcPr>
          <w:p>
            <w:pPr/>
            <w:r>
              <w:rPr>
                <w:lang w:val="zh-CN"/>
                <w:rFonts w:ascii="Times New Roman" w:hAnsi="Times New Roman" w:cs="Times New Roman"/>
                <w:sz w:val="20"/>
                <w:szCs w:val="20"/>
                <w:color w:val="000000"/>
              </w:rPr>
              <w:t>2024/12/01</w:t>
            </w:r>
          </w:p>
        </w:tc>
        <w:tc>
          <w:tcPr>
            <w:tcW w:w="2310" w:type="dxa"/>
            <w:gridSpan w:val="7"/>
          </w:tcPr>
          <w:p>
            <w:pPr/>
            <w:r>
              <w:rPr>
                <w:lang w:val="zh-CN"/>
                <w:rFonts w:ascii="Times New Roman" w:hAnsi="Times New Roman" w:cs="Times New Roman"/>
                <w:b/>
                <w:color w:val="000000"/>
              </w:rPr>
              <w:t>第五天：马达京/汀巴汀巴/邦邦岛（或班淡南）出海一日游</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8点半左右前往仙本那码头，在码头做好出海准备后乘坐快艇开始今天的跳岛游，乘坐快艇前往仙本那“最纯”“最漂亮”“最完美”的岛屿之旅：首先前往第一个潜水点--最完美的岛屿【MATAKING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随后前往第二个潜水点--【汀巴汀巴岛】，这是一个有着漂亮风景的小岛，岛上只有几户当地人居住，很有原始的味道，这里海水清澈，海洋动物也多。最后来到【邦邦岛/班淡南】，全岛周长2.3公里，步行环岛一圈只要20分钟，更可体验玻璃船，在碧绿湛蓝得海水下，有缤纷多姿得珊瑚礁及丰富得海洋生物……需支付汀巴汀巴上岛费10马币/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早餐：包含；午餐：包含；晚餐：不含；住宿：仙本那镇上精品酒店</w:t>
            </w:r>
          </w:p>
        </w:tc>
      </w:tr>
      <w:tr>
        <w:tc>
          <w:tcPr>
            <w:tcW w:w="2310" w:type="dxa"/>
            <w:vAlign w:val="center"/>
            <w:vMerge w:val="restart"/>
          </w:tcPr>
          <w:p>
            <w:pPr/>
            <w:r>
              <w:rPr>
                <w:lang w:val="zh-CN"/>
                <w:rFonts w:ascii="Times New Roman" w:hAnsi="Times New Roman" w:cs="Times New Roman"/>
                <w:sz w:val="20"/>
                <w:szCs w:val="20"/>
                <w:color w:val="000000"/>
              </w:rPr>
              <w:t>2024/12/02</w:t>
            </w:r>
          </w:p>
        </w:tc>
        <w:tc>
          <w:tcPr>
            <w:tcW w:w="2310" w:type="dxa"/>
            <w:gridSpan w:val="7"/>
          </w:tcPr>
          <w:p>
            <w:pPr/>
            <w:r>
              <w:rPr>
                <w:lang w:val="zh-CN"/>
                <w:rFonts w:ascii="Times New Roman" w:hAnsi="Times New Roman" w:cs="Times New Roman"/>
                <w:b/>
                <w:color w:val="000000"/>
              </w:rPr>
              <w:t>第六天：斗湖-亚庇-昆明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早餐后，睡到自然醒，根据航班时间送机，返回温馨的家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机票：往返机票（4程）不含大件行李托运，每人可携带手提行李7公斤上飞机（不超过20寸登机箱）2.酒店：4晚行程酒店双人间，（2人1间，如需入住单间则另付单房差）3.用餐：酒店早餐（镇上酒店部分无早餐）度假村期间一日三餐，红树林晚餐，马达京一日游出海浮潜打包简餐4.用车：行程中所列的往返接送5.服务：24小时微领队管家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马来西亚酒店旅游税：10马币/间/晚（酒店现付）不含卡帕莱码头税11马币/人2.马步岛门票50马币/人，海洋公园导游小费10马币/人，汀巴汀巴上岛费10马币/人，马达京上岛费15马币/人3.未列入行程内的正餐请自理4.个人消费和行程之外自费项目5.不含水肺潜水保险，提醒:计划参加水肺潜水活动的个人请提前在保险公司购买潜水保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左黎娜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何世祥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2024/11/30 23:51:12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