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重庆胖熊国际旅行社有限公司团队/散客确认书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直客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重庆胖熊国际旅行社有限公司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贺伟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HD20250729-S05</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尊享江南.纯玩华东五市+周庄+乌镇东栅深度双飞6日游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2025-07-29 CA4545 重庆江北T3→南京禄口T1 07:10-09:20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CA4558 南京禄口T1→重庆江北T3 20:30-23:1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1、林宇</w:t>
            </w:r>
          </w:p>
        </w:tc>
        <w:tc>
          <w:tcPr>
            <w:tcW w:w="2310" w:type="dxa"/>
            <w:vAlign w:val="center"/>
            <w:gridSpan w:val="2"/>
          </w:tcPr>
          <w:p>
            <w:pPr/>
            <w:r>
              <w:rPr>
                <w:lang w:val="zh-CN"/>
                <w:rFonts w:ascii="Times New Roman" w:hAnsi="Times New Roman" w:cs="Times New Roman"/>
                <w:sz w:val="20"/>
                <w:szCs w:val="20"/>
                <w:color w:val="000000"/>
              </w:rPr>
              <w:t>510212196805165018</w:t>
            </w:r>
          </w:p>
        </w:tc>
        <w:tc>
          <w:tcPr>
            <w:tcW w:w="2310" w:type="dxa"/>
            <w:vAlign w:val="center"/>
          </w:tcPr>
          <w:p>
            <w:pPr/>
            <w:r>
              <w:rPr>
                <w:lang w:val="zh-CN"/>
                <w:rFonts w:ascii="Times New Roman" w:hAnsi="Times New Roman" w:cs="Times New Roman"/>
                <w:sz w:val="20"/>
                <w:szCs w:val="20"/>
                <w:color w:val="000000"/>
              </w:rPr>
              <w:t>17783263776</w:t>
            </w:r>
          </w:p>
        </w:tc>
        <w:tc>
          <w:tcPr>
            <w:tcW w:w="2310" w:type="dxa"/>
            <w:vAlign w:val="center"/>
          </w:tcPr>
          <w:p>
            <w:pPr/>
            <w:r>
              <w:rPr>
                <w:lang w:val="zh-CN"/>
                <w:rFonts w:ascii="Times New Roman" w:hAnsi="Times New Roman" w:cs="Times New Roman"/>
                <w:sz w:val="20"/>
                <w:szCs w:val="20"/>
                <w:color w:val="000000"/>
              </w:rPr>
              <w:t>2、周楠</w:t>
            </w:r>
          </w:p>
        </w:tc>
        <w:tc>
          <w:tcPr>
            <w:tcW w:w="2310" w:type="dxa"/>
            <w:vAlign w:val="center"/>
            <w:gridSpan w:val="2"/>
          </w:tcPr>
          <w:p>
            <w:pPr/>
            <w:r>
              <w:rPr>
                <w:lang w:val="zh-CN"/>
                <w:rFonts w:ascii="Times New Roman" w:hAnsi="Times New Roman" w:cs="Times New Roman"/>
                <w:sz w:val="20"/>
                <w:szCs w:val="20"/>
                <w:color w:val="000000"/>
              </w:rPr>
              <w:t>510212197301100821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3、林子杰</w:t>
            </w:r>
          </w:p>
        </w:tc>
        <w:tc>
          <w:tcPr>
            <w:tcW w:w="2310" w:type="dxa"/>
            <w:vAlign w:val="center"/>
            <w:gridSpan w:val="2"/>
          </w:tcPr>
          <w:p>
            <w:pPr/>
            <w:r>
              <w:rPr>
                <w:lang w:val="zh-CN"/>
                <w:rFonts w:ascii="Times New Roman" w:hAnsi="Times New Roman" w:cs="Times New Roman"/>
                <w:sz w:val="20"/>
                <w:szCs w:val="20"/>
                <w:color w:val="000000"/>
              </w:rPr>
              <w:t>500106200709140835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2650.00</w:t>
            </w:r>
          </w:p>
        </w:tc>
        <w:tc>
          <w:tcPr>
            <w:tcW w:w="2310" w:type="dxa"/>
          </w:tcPr>
          <w:p>
            <w:pPr/>
            <w:r>
              <w:rPr>
                <w:lang w:val="zh-CN"/>
                <w:rFonts w:ascii="Times New Roman" w:hAnsi="Times New Roman" w:cs="Times New Roman"/>
                <w:sz w:val="20"/>
                <w:szCs w:val="20"/>
                <w:color w:val="000000"/>
              </w:rPr>
              <w:t>7950.00</w:t>
            </w:r>
          </w:p>
        </w:tc>
        <w:tc>
          <w:tcPr>
            <w:tcW w:w="2310" w:type="dxa"/>
            <w:gridSpan w:val="2"/>
          </w:tcPr>
          <w:p>
            <w:pPr/>
            <w:r>
              <w:rPr>
                <w:lang w:val="zh-CN"/>
                <w:rFonts w:ascii="Times New Roman" w:hAnsi="Times New Roman" w:cs="Times New Roman"/>
                <w:sz w:val="20"/>
                <w:szCs w:val="20"/>
                <w:color w:val="000000"/>
              </w:rPr>
              <w:t>3大 三人间或加床</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总金额：柒仟玖佰伍拾元整</w:t>
            </w:r>
          </w:p>
        </w:tc>
        <w:tc>
          <w:tcPr>
            <w:tcW w:w="2310" w:type="dxa"/>
            <w:textDirection w:val="right"/>
            <w:gridSpan w:val="3"/>
          </w:tcPr>
          <w:p>
            <w:pPr/>
            <w:r>
              <w:rPr>
                <w:lang w:val="zh-CN"/>
                <w:rFonts w:ascii="Times New Roman" w:hAnsi="Times New Roman" w:cs="Times New Roman"/>
                <w:b/>
                <w:color w:val="FF0000"/>
              </w:rPr>
              <w:t>7950.00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重庆工商银行渝北龙溪支行</w:t>
            </w:r>
          </w:p>
        </w:tc>
        <w:tc>
          <w:tcPr>
            <w:tcW w:w="2310" w:type="dxa"/>
            <w:gridSpan w:val="2"/>
          </w:tcPr>
          <w:p>
            <w:pPr/>
            <w:r>
              <w:rPr>
                <w:lang w:val="zh-CN"/>
                <w:rFonts w:ascii="Times New Roman" w:hAnsi="Times New Roman" w:cs="Times New Roman"/>
                <w:sz w:val="20"/>
                <w:szCs w:val="20"/>
                <w:color w:val="000000"/>
              </w:rPr>
              <w:t>重庆胖熊国际旅行社有限公司</w:t>
            </w:r>
          </w:p>
        </w:tc>
        <w:tc>
          <w:tcPr>
            <w:tcW w:w="2310" w:type="dxa"/>
            <w:gridSpan w:val="3"/>
          </w:tcPr>
          <w:p>
            <w:pPr/>
            <w:r>
              <w:rPr>
                <w:lang w:val="zh-CN"/>
                <w:rFonts w:ascii="Times New Roman" w:hAnsi="Times New Roman" w:cs="Times New Roman"/>
                <w:sz w:val="20"/>
                <w:szCs w:val="20"/>
                <w:color w:val="000000"/>
              </w:rPr>
              <w:t>3100086209200331353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重庆-南京</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江北国际机场集合，由旅行社送团工作人员在机场协助游客办理登机相关手续，乘机飞南京/上海（飞行时间120-180分钟，飞机上无导游，以实际出发时间为准），接机后入住酒店。客人出发的前一天，导游/接站师傅会通过短信/电话联系客人，请保持手机畅通。行前温馨提示：1.请仔细核对出行人名字和证件号，因机票为特价经济舱，出票后机票不能退票、不能改签、不能更名2.请携带好本人有效身份证原件登机，航班起飞前60分钟停止办理登机牌3.抵达重庆江北机场后请联系送机工作人员：4.自由活动时，不安排车、导游服务等，请您在自由活动期间注意人身、财产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早餐：不含；午餐：不含；晚餐：不含；住宿：南京</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南京-无锡</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游集南京六朝文化和民俗市肆文化于一身的游览【秦淮河风光带·夫子庙商业街】(非上海进出的客人早餐后到夫子庙商业街自由活动等候上海过来的或者在南京接站的导游，敬请谅解！)游览集南京六朝文化和民俗文化于一身的夫子庙（自由活动不少于90分钟），感受“十里秦淮千年流淌，六朝胜地今更辉煌”。文德桥、乌衣巷，神州第一照壁散落其间，秦淮小吃闻名天下:金陵小笼\鸭血粉丝汤\鸭油烧饼\牛肉锅贴\五香茶叶蛋等。【李香君故居】又名“媚香楼”，是一座典型的清代河厅河房建筑，三进两院，风格精巧雅致，陈列着一些古时候的书画、篆刻，也还原了李香君当时的居住状况。咱们展开一把《桃花扇》，回味一场乱世纠缠…后参观我国伟大的先行者孙中山先生的长眠之处,国家级AAAAA级景区【中山陵】(约100分钟，另外周一中山陵墓室闭馆，游客可在博爱坊附近自由活动。景交自理，20元/人自愿乘坐）。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赴无锡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早餐：含；午餐：不含；晚餐：不含；住宿：无锡</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无锡-苏州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无锡，游览“太湖名胜”——【鼋头渚风景区】（游览时间不少于1.5小时，樱花季管社山码头坐摆渡船至游客中心，40元/人往返必消，平日景区接驳车40元/人往返必消，费用自理）登临灯塔处聆听鼋头传说，远眺四方，一洗胸襟，领略太湖山水之美，探太湖三山仙岛灵秀、神幻之妙。初春时樱花破绽怒放，意味“太湖之春”樱花节拉开序幕：排红粉白，一树树，一片片，像彩云，似晨雾，灿烂眩目。在春日姹紫嫣红中忽见樱花的粉红、雪白，铺天盖地的缀满枝头，壮观无比！（花期与当地季节天气有关，视当地实际花期而定，敬请谅解）。车赴东方威尼斯—苏州，参观苏州代表性园林--【留园】（游览约60分钟）中国四大名园之一；庭院错落相连，镂空木窗透出季节的色彩，园内亭台楼阁、奇石曲廊，加上满园的绿意和一汪碧水池塘，一步一景，尽显江南苏州园林之美；在这里，可以体会一种园林山水之间的平淡气息。已升级：【苏州古运河游船】（游览时间不少于60分钟）乘船游在运河之上，细听“吴侬软语”苏州评弹，穿行苏城之间，摇曳灯光之中，真正江南水乡！之后游览“中国第一水乡”-【周庄】（温馨提示：由于周庄受古迹保护，周庄大桥禁止大巴车通过，需要换乘景区电瓶车或者摆渡船驶入，电瓶车20元/人或环镇水上游游船80元/人，敬请费用自理！）夜晚的周庄，是一场光与影show在一场光、水、影共舞的“蚬江渔唱”中，提灯走桥夜游周庄，就像是打开了夜周庄美丽画卷的序幕，也似开启了夜周庄千年的水乡时光，典型的江南水乡风貌，有独特的人文景观，是中国水乡文化和吴地汉文化的瑰宝。旅美画家陈逸飞的油画《故乡的回忆》中而闻名的明代建筑--双桥，明代江南首富沈万三故居。※温馨提示：若遇节假日或周庄满房住苏州同级酒店，无费用退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早餐：含；午餐：含；晚餐：含；住宿：周庄/苏州</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周庄-乌镇</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杭州，游览【西湖风景区】（游览时间约90分钟，乘船环湖游西湖，深度赏西湖之美，游船为景交，费用60元/人自理，儿童同成人价格，包含环湖游船以及导游讲解,。温馨提示：黄金周，节假日，周末，西湖风景区大巴车禁止进入，客人需要换乘景区接驳车20元/人，具体当天以现场安排为准，敬请谅解！）游览花港观鱼、苏堤春晓、柳浪闻莺，西湖，是一首诗，一幅天然图画，一个美丽动人的故事，不论是多年居住在这里的人还是匆匆而过的旅人，总有些地方可以慢一点，再慢一点；这样一个悠闲的城市，一个悠闲的地方，您可以漫步在苏堤、漫步在《富春山居图》的所有拍摄地。可远观三潭印月（不上岛）、阮墩环碧、湖心亭、孤山烟岚、断桥等。午餐升级——乾隆御茶宴。已升级：欣赏以杭州的历史典故、神话传说为基点，融合世界歌舞、杂技于一体的大型实景歌舞表演—【宋城千古情表演】+【杭州宋城主题乐园】（游览时间不少于90分钟）车赴乌镇，入住酒店。※温馨提示：若遇节假日或乌镇满房住桐乡同级酒店，无费用退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早餐：；午餐：；晚餐：；住宿：乌镇/桐乡</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乌镇-上海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品尝乌镇非遗长桌宴（自理）。结束后车赴上海。逛江南著名园林街之【小吃汇·城隍庙商城】上海著名的江南园林及古商街，选购特色江南特产及品尝名闻全国的城隍庙小吃，游览【南京路步行街】长约1200米，两侧商店林立，一眼望去，现代建筑夹杂着欧式老楼，竖挂的店铺灯箱连绵不绝，尤其夜幕之下霓虹灯光闪烁，别有风情。还可以坐一回像缩小版旧式电车的“铛铛车”，找找老上海的味道。南京路步行街还是吃货的天堂，这里的购物中心都有各种品牌的时尚餐厅、咖啡店，还有多家餐馆和食品店，比如专吃上海本帮菜的老克勒酒楼、德兴馆、翠亭酒家，还有第一食品商店、沈大成点心店等食品点。已升级：【黄浦江游船+金茂大厦登高】乘坐被誉为即将消失的海派文明，看外滩两岸风光，登高饱览上海美景。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早餐：；午餐：；晚餐：；住宿：上海</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上海-重庆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南京路步行街】自由活动，老上海十里洋场，中华五星商业街，数以千计的大中小型商场，汇集了中国最全和最时尚的商品，自由观光购物，根据时间送站。（如南京送站或上海早班机自愿放弃该行程）【上海送机温馨提示】：1、散客拼团，我们仅提供一次免费送站服务，客人可能会出现2-3个小时的候车或候机时间，请客人理解并配合。第一趟：早上酒店集合送站（您的车次早于12：00我们将在宾馆直接安排车送站，南京路自动放弃，无费用可退）。第二趟：12：00—15:00上海外滩停车场集合，统一送站。2、免费送站地点仅限为：火车站和机场，其他地点暂不提供服务！3、因上海为国际化大都市，交通情况不稳定，正常安排提前3-4小时左右送站；4、送站不一定是导游，需客人自行办理登机牌。【南京送机温馨提示】：6点左右酒店集合赴南京。1.统一安排免费送站一次，2.南京站，南京南站的返程时间建议14：00以后；3.南京机场的返程时间建议为15：00以后；4.南京送站地点仅为：火车站和机场其他站点请自行前往！！5.送站时间早14:00—晚20:00，如超出时间范围请自行解决，费用自理；6.接送站则不一定是导游，需客人自行办理登机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门票行程中景点首道门票以及备注所含的项目门票，不包含行程中未含的或其它个人消费。在保证不减少景点的前提下游览顺序以导游安排为准；特价线路无门票费用可退。儿童：1.2米以下小童：含当地车位、含半价正餐，不占床位、不含早餐、不含门票，超高自理。住宿入住携程三钻酒店+周庄客栈，特别升级1晚四钻酒店（不指定城市），如遇法定节假日或景区大型活动则升级城市同标准酒店；全程不提供自然单间，单男单女需补房差，成人每晚一个床位，不提供自然单间，不指定酒店地理位置。上海三钻/浦东：云舒酒店尚庭国际酒店森壹酒店柠莱精选、如家精选川沙店南京三钻：裘都酒店梅山宾馆、7天禄口机场店无锡三钻：徽舟酒店飞鸿宾馆金澜湾周庄客栈或苏州：花开富贵、拾叁月、灯火万家乌镇外或桐乡：君悦酒店用餐5早4正，早餐为酒店随房赠送不用不退，正餐餐标30元/人.交通往返大交通（跟团期间的车费，按照实际参团人数安排交通车辆，具体以报名时选择为准），当地空调旅游车（5-65座，按实际人数安排，座位次序为随机分配，不分先后，确保1人1正座，自由活动期间不包含用车）。导游当地持证中文导游服务，接驳期间或自由活动期间不含导游服务。费用不含门票景区内的小景点或交通车等额外费用。景区交通：1.中山陵景区交通20元/人。2.鼋头渚景区交通40元/人。3.周庄景区交通20元/人。4.西湖景区接驳20元/人西湖游船60元/人。住宿酒店内洗衣、理发、电话、传真、收费电视、饮品、烟酒等个人消费需要自理。用餐行程中包含的餐以外的餐食，需要自理。购物全程无购物店安排其他1、个别景点景区、餐厅、休息区等场所存在商场等购物场所，上述场所非旅行社安排的指定购物场所。提醒旅游者根据自身需要，理性消费并索要必要票据。如产生消费争议，请自行承担相关责任义务，由此带来不便敬请谅解！2、出行前请务必检查自己证件的有效期。目的地可能有部分私人经营的娱乐、消费场所，此类组织多数无合法经营资质，存在各种隐患。为了您的安全和健康考虑，提醒您，谨慎消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1</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贺伟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2025/7/26 17:49:21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