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山西鑫泽国际旅行社有限公司官渡西派分公司团队/散客确认书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钮总</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钮总</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13888510611</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任可梅</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13987653794</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XJ308FJ261007A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环游南疆3飞8日（散拼）</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2026-10-07</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2026-10-14</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14(14大)</w:t>
            </w:r>
          </w:p>
        </w:tc>
      </w:tr>
      <w:tr>
        <w:tc>
          <w:tcPr>
            <w:tcW w:w="2310" w:type="dxa"/>
            <w:shd w:val="clear" w:color="auto" w:fill="F0F0F0"/>
            <w:gridSpan w:val="8"/>
            <w:vAlign w:val="center"/>
          </w:tcPr>
          <w:p>
            <w:pPr/>
            <w:r>
              <w:rPr>
                <w:lang w:val="zh-CN"/>
                <w:rFonts w:ascii="Times New Roman" w:hAnsi="Times New Roman" w:cs="Times New Roman"/>
                <w:b/>
                <w:color w:val="000000"/>
              </w:rPr>
              <w:t>大交通信息</w:t>
            </w:r>
          </w:p>
        </w:tc>
        <w:trPr>
          <w:trHeight w:hRule="exact" w:val="360"/>
        </w:trPr>
      </w:tr>
      <w:tr>
        <w:tc>
          <w:tcPr>
            <w:tcW w:w="2310" w:type="dxa"/>
            <w:gridSpan w:val="8"/>
          </w:tcPr>
          <w:p>
            <w:pPr/>
            <w:r>
              <w:rPr>
                <w:lang w:val="zh-CN"/>
                <w:rFonts w:ascii="Times New Roman" w:hAnsi="Times New Roman" w:cs="Times New Roman"/>
                <w:sz w:val="20"/>
                <w:szCs w:val="20"/>
                <w:color w:val="000000"/>
              </w:rPr>
              <w:t xml:space="preserve">启程 2026-10-07 CZ5728 昆明→乌鲁木齐 20:05 -00:35+1  </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 xml:space="preserve">返程 2026-10-13 CZ6808  喀什机场 T2→乌鲁木齐  22:00 -00:05+1  </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返程 2026-10-14 CZ6949  乌鲁木齐→昆明长水 09:55-16:15 (经停</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vAlign w:val="center"/>
          </w:tcPr>
          <w:p>
            <w:pPr/>
            <w:r>
              <w:rPr>
                <w:lang w:val="zh-CN"/>
                <w:rFonts w:ascii="Times New Roman" w:hAnsi="Times New Roman" w:cs="Times New Roman"/>
                <w:sz w:val="20"/>
                <w:szCs w:val="20"/>
                <w:color w:val="000000"/>
              </w:rPr>
              <w:t>1、符仕立</w:t>
            </w:r>
          </w:p>
        </w:tc>
        <w:tc>
          <w:tcPr>
            <w:tcW w:w="2310" w:type="dxa"/>
            <w:vAlign w:val="center"/>
            <w:gridSpan w:val="2"/>
          </w:tcPr>
          <w:p>
            <w:pPr/>
            <w:r>
              <w:rPr>
                <w:lang w:val="zh-CN"/>
                <w:rFonts w:ascii="Times New Roman" w:hAnsi="Times New Roman" w:cs="Times New Roman"/>
                <w:sz w:val="20"/>
                <w:szCs w:val="20"/>
                <w:color w:val="000000"/>
              </w:rPr>
              <w:t>532224197309202153</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2、华琼娥</w:t>
            </w:r>
          </w:p>
        </w:tc>
        <w:tc>
          <w:tcPr>
            <w:tcW w:w="2310" w:type="dxa"/>
            <w:vAlign w:val="center"/>
            <w:gridSpan w:val="2"/>
          </w:tcPr>
          <w:p>
            <w:pPr/>
            <w:r>
              <w:rPr>
                <w:lang w:val="zh-CN"/>
                <w:rFonts w:ascii="Times New Roman" w:hAnsi="Times New Roman" w:cs="Times New Roman"/>
                <w:sz w:val="20"/>
                <w:szCs w:val="20"/>
                <w:color w:val="000000"/>
              </w:rPr>
              <w:t>532224196412270045</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3、华琼芬</w:t>
            </w:r>
          </w:p>
        </w:tc>
        <w:tc>
          <w:tcPr>
            <w:tcW w:w="2310" w:type="dxa"/>
            <w:vAlign w:val="center"/>
            <w:gridSpan w:val="2"/>
          </w:tcPr>
          <w:p>
            <w:pPr/>
            <w:r>
              <w:rPr>
                <w:lang w:val="zh-CN"/>
                <w:rFonts w:ascii="Times New Roman" w:hAnsi="Times New Roman" w:cs="Times New Roman"/>
                <w:sz w:val="20"/>
                <w:szCs w:val="20"/>
                <w:color w:val="000000"/>
              </w:rPr>
              <w:t>532224196211160026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4、凡丽娥</w:t>
            </w:r>
          </w:p>
        </w:tc>
        <w:tc>
          <w:tcPr>
            <w:tcW w:w="2310" w:type="dxa"/>
            <w:vAlign w:val="center"/>
            <w:gridSpan w:val="2"/>
          </w:tcPr>
          <w:p>
            <w:pPr/>
            <w:r>
              <w:rPr>
                <w:lang w:val="zh-CN"/>
                <w:rFonts w:ascii="Times New Roman" w:hAnsi="Times New Roman" w:cs="Times New Roman"/>
                <w:sz w:val="20"/>
                <w:szCs w:val="20"/>
                <w:color w:val="000000"/>
              </w:rPr>
              <w:t>530381197112210126</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5、任虹光</w:t>
            </w:r>
          </w:p>
        </w:tc>
        <w:tc>
          <w:tcPr>
            <w:tcW w:w="2310" w:type="dxa"/>
            <w:vAlign w:val="center"/>
            <w:gridSpan w:val="2"/>
          </w:tcPr>
          <w:p>
            <w:pPr/>
            <w:r>
              <w:rPr>
                <w:lang w:val="zh-CN"/>
                <w:rFonts w:ascii="Times New Roman" w:hAnsi="Times New Roman" w:cs="Times New Roman"/>
                <w:sz w:val="20"/>
                <w:szCs w:val="20"/>
                <w:color w:val="000000"/>
              </w:rPr>
              <w:t>530328198911150011</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6、何兴玉</w:t>
            </w:r>
          </w:p>
        </w:tc>
        <w:tc>
          <w:tcPr>
            <w:tcW w:w="2310" w:type="dxa"/>
            <w:vAlign w:val="center"/>
            <w:gridSpan w:val="2"/>
          </w:tcPr>
          <w:p>
            <w:pPr/>
            <w:r>
              <w:rPr>
                <w:lang w:val="zh-CN"/>
                <w:rFonts w:ascii="Times New Roman" w:hAnsi="Times New Roman" w:cs="Times New Roman"/>
                <w:sz w:val="20"/>
                <w:szCs w:val="20"/>
                <w:color w:val="000000"/>
              </w:rPr>
              <w:t>53220119781013513X</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7、秦彩香</w:t>
            </w:r>
          </w:p>
        </w:tc>
        <w:tc>
          <w:tcPr>
            <w:tcW w:w="2310" w:type="dxa"/>
            <w:vAlign w:val="center"/>
            <w:gridSpan w:val="2"/>
          </w:tcPr>
          <w:p>
            <w:pPr/>
            <w:r>
              <w:rPr>
                <w:lang w:val="zh-CN"/>
                <w:rFonts w:ascii="Times New Roman" w:hAnsi="Times New Roman" w:cs="Times New Roman"/>
                <w:sz w:val="20"/>
                <w:szCs w:val="20"/>
                <w:color w:val="000000"/>
              </w:rPr>
              <w:t>532201197911122741</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8、秦石美</w:t>
            </w:r>
          </w:p>
        </w:tc>
        <w:tc>
          <w:tcPr>
            <w:tcW w:w="2310" w:type="dxa"/>
            <w:vAlign w:val="center"/>
            <w:gridSpan w:val="2"/>
          </w:tcPr>
          <w:p>
            <w:pPr/>
            <w:r>
              <w:rPr>
                <w:lang w:val="zh-CN"/>
                <w:rFonts w:ascii="Times New Roman" w:hAnsi="Times New Roman" w:cs="Times New Roman"/>
                <w:sz w:val="20"/>
                <w:szCs w:val="20"/>
                <w:color w:val="000000"/>
              </w:rPr>
              <w:t>532201197410102785</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9、秦石香</w:t>
            </w:r>
          </w:p>
        </w:tc>
        <w:tc>
          <w:tcPr>
            <w:tcW w:w="2310" w:type="dxa"/>
            <w:vAlign w:val="center"/>
            <w:gridSpan w:val="2"/>
          </w:tcPr>
          <w:p>
            <w:pPr/>
            <w:r>
              <w:rPr>
                <w:lang w:val="zh-CN"/>
                <w:rFonts w:ascii="Times New Roman" w:hAnsi="Times New Roman" w:cs="Times New Roman"/>
                <w:sz w:val="20"/>
                <w:szCs w:val="20"/>
                <w:color w:val="000000"/>
              </w:rPr>
              <w:t>530302197601141509</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10、张喜凡</w:t>
            </w:r>
          </w:p>
        </w:tc>
        <w:tc>
          <w:tcPr>
            <w:tcW w:w="2310" w:type="dxa"/>
            <w:vAlign w:val="center"/>
            <w:gridSpan w:val="2"/>
          </w:tcPr>
          <w:p>
            <w:pPr/>
            <w:r>
              <w:rPr>
                <w:lang w:val="zh-CN"/>
                <w:rFonts w:ascii="Times New Roman" w:hAnsi="Times New Roman" w:cs="Times New Roman"/>
                <w:sz w:val="20"/>
                <w:szCs w:val="20"/>
                <w:color w:val="000000"/>
              </w:rPr>
              <w:t>530302199609111231</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11、陈晏萍</w:t>
            </w:r>
          </w:p>
        </w:tc>
        <w:tc>
          <w:tcPr>
            <w:tcW w:w="2310" w:type="dxa"/>
            <w:vAlign w:val="center"/>
            <w:gridSpan w:val="2"/>
          </w:tcPr>
          <w:p>
            <w:pPr/>
            <w:r>
              <w:rPr>
                <w:lang w:val="zh-CN"/>
                <w:rFonts w:ascii="Times New Roman" w:hAnsi="Times New Roman" w:cs="Times New Roman"/>
                <w:sz w:val="20"/>
                <w:szCs w:val="20"/>
                <w:color w:val="000000"/>
              </w:rPr>
              <w:t>532224197304082201</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12、孔令湖</w:t>
            </w:r>
          </w:p>
        </w:tc>
        <w:tc>
          <w:tcPr>
            <w:tcW w:w="2310" w:type="dxa"/>
            <w:vAlign w:val="center"/>
            <w:gridSpan w:val="2"/>
          </w:tcPr>
          <w:p>
            <w:pPr/>
            <w:r>
              <w:rPr>
                <w:lang w:val="zh-CN"/>
                <w:rFonts w:ascii="Times New Roman" w:hAnsi="Times New Roman" w:cs="Times New Roman"/>
                <w:sz w:val="20"/>
                <w:szCs w:val="20"/>
                <w:color w:val="000000"/>
              </w:rPr>
              <w:t>532224196910132171</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13、贾德江</w:t>
            </w:r>
          </w:p>
        </w:tc>
        <w:tc>
          <w:tcPr>
            <w:tcW w:w="2310" w:type="dxa"/>
            <w:vAlign w:val="center"/>
            <w:gridSpan w:val="2"/>
          </w:tcPr>
          <w:p>
            <w:pPr/>
            <w:r>
              <w:rPr>
                <w:lang w:val="zh-CN"/>
                <w:rFonts w:ascii="Times New Roman" w:hAnsi="Times New Roman" w:cs="Times New Roman"/>
                <w:sz w:val="20"/>
                <w:szCs w:val="20"/>
                <w:color w:val="000000"/>
              </w:rPr>
              <w:t>532224197512202335</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14、高云梅</w:t>
            </w:r>
          </w:p>
        </w:tc>
        <w:tc>
          <w:tcPr>
            <w:tcW w:w="2310" w:type="dxa"/>
            <w:vAlign w:val="center"/>
            <w:gridSpan w:val="2"/>
          </w:tcPr>
          <w:p>
            <w:pPr/>
            <w:r>
              <w:rPr>
                <w:lang w:val="zh-CN"/>
                <w:rFonts w:ascii="Times New Roman" w:hAnsi="Times New Roman" w:cs="Times New Roman"/>
                <w:sz w:val="20"/>
                <w:szCs w:val="20"/>
                <w:color w:val="000000"/>
              </w:rPr>
              <w:t>530381197512292327</w:t>
            </w:r>
          </w:p>
        </w:tc>
        <w:tc>
          <w:tcPr>
            <w:tcW w:w="2310" w:type="dxa"/>
            <w:vAlign w:val="center"/>
          </w:tcPr>
          <w:p>
            <w:pP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14</w:t>
            </w:r>
          </w:p>
        </w:tc>
        <w:tc>
          <w:tcPr>
            <w:tcW w:w="2310" w:type="dxa"/>
          </w:tcPr>
          <w:p>
            <w:pPr/>
            <w:r>
              <w:rPr>
                <w:lang w:val="zh-CN"/>
                <w:rFonts w:ascii="Times New Roman" w:hAnsi="Times New Roman" w:cs="Times New Roman"/>
                <w:sz w:val="20"/>
                <w:szCs w:val="20"/>
                <w:color w:val="000000"/>
              </w:rPr>
              <w:t>2780.00</w:t>
            </w:r>
          </w:p>
        </w:tc>
        <w:tc>
          <w:tcPr>
            <w:tcW w:w="2310" w:type="dxa"/>
          </w:tcPr>
          <w:p>
            <w:pPr/>
            <w:r>
              <w:rPr>
                <w:lang w:val="zh-CN"/>
                <w:rFonts w:ascii="Times New Roman" w:hAnsi="Times New Roman" w:cs="Times New Roman"/>
                <w:sz w:val="20"/>
                <w:szCs w:val="20"/>
                <w:color w:val="000000"/>
              </w:rPr>
              <w:t>38920.00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总金额：叁万捌仟玖佰贰拾元整</w:t>
            </w:r>
          </w:p>
        </w:tc>
        <w:tc>
          <w:tcPr>
            <w:tcW w:w="2310" w:type="dxa"/>
            <w:textDirection w:val="right"/>
            <w:gridSpan w:val="3"/>
          </w:tcPr>
          <w:p>
            <w:pPr/>
            <w:r>
              <w:rPr>
                <w:lang w:val="zh-CN"/>
                <w:rFonts w:ascii="Times New Roman" w:hAnsi="Times New Roman" w:cs="Times New Roman"/>
                <w:b/>
                <w:color w:val="FF0000"/>
              </w:rPr>
              <w:t>38920.00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中信银行昆明国贸支行</w:t>
            </w:r>
          </w:p>
        </w:tc>
        <w:tc>
          <w:tcPr>
            <w:tcW w:w="2310" w:type="dxa"/>
            <w:gridSpan w:val="2"/>
          </w:tcPr>
          <w:p>
            <w:pPr/>
            <w:r>
              <w:rPr>
                <w:lang w:val="zh-CN"/>
                <w:rFonts w:ascii="Times New Roman" w:hAnsi="Times New Roman" w:cs="Times New Roman"/>
                <w:sz w:val="20"/>
                <w:szCs w:val="20"/>
                <w:color w:val="000000"/>
              </w:rPr>
              <w:t>骆玉开</w:t>
            </w:r>
          </w:p>
        </w:tc>
        <w:tc>
          <w:tcPr>
            <w:tcW w:w="2310" w:type="dxa"/>
            <w:gridSpan w:val="3"/>
          </w:tcPr>
          <w:p>
            <w:pPr/>
            <w:r>
              <w:rPr>
                <w:lang w:val="zh-CN"/>
                <w:rFonts w:ascii="Times New Roman" w:hAnsi="Times New Roman" w:cs="Times New Roman"/>
                <w:sz w:val="20"/>
                <w:szCs w:val="20"/>
                <w:color w:val="000000"/>
              </w:rPr>
              <w:t>6217681901979511</w:t>
            </w:r>
          </w:p>
        </w:tc>
      </w:tr>
      <w:tr>
        <w:tc>
          <w:tcPr>
            <w:tcW w:w="2310" w:type="dxa"/>
            <w:gridSpan w:val="3"/>
          </w:tcPr>
          <w:p>
            <w:pPr/>
            <w:r>
              <w:rPr>
                <w:lang w:val="zh-CN"/>
                <w:rFonts w:ascii="Times New Roman" w:hAnsi="Times New Roman" w:cs="Times New Roman"/>
                <w:sz w:val="20"/>
                <w:szCs w:val="20"/>
                <w:color w:val="000000"/>
              </w:rPr>
              <w:t>兴业银行股份有限公司昆明滇池度假区支行</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gridSpan w:val="3"/>
          </w:tcPr>
          <w:p>
            <w:pPr/>
            <w:r>
              <w:rPr>
                <w:lang w:val="zh-CN"/>
                <w:rFonts w:ascii="Times New Roman" w:hAnsi="Times New Roman" w:cs="Times New Roman"/>
                <w:sz w:val="20"/>
                <w:szCs w:val="20"/>
                <w:color w:val="000000"/>
              </w:rPr>
              <w:t>471190100100057852</w:t>
            </w:r>
          </w:p>
        </w:tc>
      </w:tr>
      <w:tr>
        <w:tc>
          <w:tcPr>
            <w:tcW w:w="2310" w:type="dxa"/>
            <w:gridSpan w:val="3"/>
          </w:tcPr>
          <w:p>
            <w:pPr/>
            <w:r>
              <w:rPr>
                <w:lang w:val="zh-CN"/>
                <w:rFonts w:ascii="Times New Roman" w:hAnsi="Times New Roman" w:cs="Times New Roman"/>
                <w:sz w:val="20"/>
                <w:szCs w:val="20"/>
                <w:color w:val="000000"/>
              </w:rPr>
              <w:t>兴业银行股份有限公司昆明高新支行</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gridSpan w:val="3"/>
          </w:tcPr>
          <w:p>
            <w:pPr/>
            <w:r>
              <w:rPr>
                <w:lang w:val="zh-CN"/>
                <w:rFonts w:ascii="Times New Roman" w:hAnsi="Times New Roman" w:cs="Times New Roman"/>
                <w:sz w:val="20"/>
                <w:szCs w:val="20"/>
                <w:color w:val="000000"/>
              </w:rPr>
              <w:t>471170100100203093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2026/10/07</w:t>
            </w:r>
          </w:p>
        </w:tc>
        <w:tc>
          <w:tcPr>
            <w:tcW w:w="2310" w:type="dxa"/>
            <w:gridSpan w:val="7"/>
          </w:tcPr>
          <w:p>
            <w:pPr/>
            <w:r>
              <w:rPr>
                <w:lang w:val="zh-CN"/>
                <w:rFonts w:ascii="Times New Roman" w:hAnsi="Times New Roman" w:cs="Times New Roman"/>
                <w:b/>
                <w:color w:val="000000"/>
              </w:rPr>
              <w:t>昆明-乌鲁木齐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昆明乘航班飞往举世闻名的“歌舞之乡、瓜果之乡、金玉之邦”—新疆自治区首府乌鲁木齐（准葛尔蒙古语为“优美的牧场”），接机后入住酒店，今天行程结束。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早餐：不含；午餐：不含；晚餐：不含；住宿：乌鲁木齐/昌吉/米泉</w:t>
            </w:r>
          </w:p>
        </w:tc>
      </w:tr>
      <w:tr>
        <w:tc>
          <w:tcPr>
            <w:tcW w:w="2310" w:type="dxa"/>
            <w:vAlign w:val="center"/>
            <w:vMerge w:val="restart"/>
          </w:tcPr>
          <w:p>
            <w:pPr/>
            <w:r>
              <w:rPr>
                <w:lang w:val="zh-CN"/>
                <w:rFonts w:ascii="Times New Roman" w:hAnsi="Times New Roman" w:cs="Times New Roman"/>
                <w:sz w:val="20"/>
                <w:szCs w:val="20"/>
                <w:color w:val="000000"/>
              </w:rPr>
              <w:t>2026/10/08</w:t>
            </w:r>
          </w:p>
        </w:tc>
        <w:tc>
          <w:tcPr>
            <w:tcW w:w="2310" w:type="dxa"/>
            <w:gridSpan w:val="7"/>
          </w:tcPr>
          <w:p>
            <w:pPr/>
            <w:r>
              <w:rPr>
                <w:lang w:val="zh-CN"/>
                <w:rFonts w:ascii="Times New Roman" w:hAnsi="Times New Roman" w:cs="Times New Roman"/>
                <w:b/>
                <w:color w:val="000000"/>
              </w:rPr>
              <w:t>乌鲁木齐-天山胜利隧道-罗布人村寨-库尔勒</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罗布人村寨】(含门票)领略古朴的罗布人民族风情，罗布人村寨位于新疆塔里木盆地东北边缘尉犁县墩阔坦乡的塔里木河河畔,它是一个集沙漠、胡杨、河流、湖泊于一体，是一个自然景色各异，生态环境优美的旅游区，看大漠风光，听驼铃遗韵，悠悠情怀，心旷神怡。此处有千姿百态的原始胡杨林，塔里木河与渭干河在这里交相辉映，塔克拉玛干大沙漠一望无际。划独木舟、食烤鱼、操罗布泊方言的罗布民族就生长在这里。罗布人是新疆最古老的民族之一，他们生活在塔里木河畔的小海子边，“不种五谷，不牧牲畜，唯以小舟捕鱼为食。”其方言也是新疆三大方言之一，其民俗、民歌、故事都具有独特的艺术价值。晚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早餐：含；午餐：含；晚餐：含；住宿：库尔勒</w:t>
            </w:r>
          </w:p>
        </w:tc>
      </w:tr>
      <w:tr>
        <w:tc>
          <w:tcPr>
            <w:tcW w:w="2310" w:type="dxa"/>
            <w:vAlign w:val="center"/>
            <w:vMerge w:val="restart"/>
          </w:tcPr>
          <w:p>
            <w:pPr/>
            <w:r>
              <w:rPr>
                <w:lang w:val="zh-CN"/>
                <w:rFonts w:ascii="Times New Roman" w:hAnsi="Times New Roman" w:cs="Times New Roman"/>
                <w:sz w:val="20"/>
                <w:szCs w:val="20"/>
                <w:color w:val="000000"/>
              </w:rPr>
              <w:t>2026/10/09</w:t>
            </w:r>
          </w:p>
        </w:tc>
        <w:tc>
          <w:tcPr>
            <w:tcW w:w="2310" w:type="dxa"/>
            <w:gridSpan w:val="7"/>
          </w:tcPr>
          <w:p>
            <w:pPr/>
            <w:r>
              <w:rPr>
                <w:lang w:val="zh-CN"/>
                <w:rFonts w:ascii="Times New Roman" w:hAnsi="Times New Roman" w:cs="Times New Roman"/>
                <w:b/>
                <w:color w:val="000000"/>
              </w:rPr>
              <w:t>库尔勒-托木尔大峡谷-阿克苏</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托木尔大峡谷】(含门票)温宿大峡谷有中国罕见的远古岩盐地质绝景、中国西部奇特的雅丹地质怪景、中国独有的巨型岩溶蚀地质秘境，堪称新疆“活的地质演变史博物馆”，进入景区，犹如进入了一片精美雄浑的自然画廊，峡谷中山壁岩层分布清晰，受挤压形成的褶皱，弯曲的线条十分清晰，断裂的岩石夹在山壁岩层中，在历经亿万年的风雨侵蚀后，形成了绝壁高耸、奇峰兀立、形态各异、嶙峋怪异、色彩浓烈、千姿百态、五彩纷呈的奇特景观；后乘车前往阿克苏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早餐：含；午餐：含；晚餐：含；住宿：阿克苏</w:t>
            </w:r>
          </w:p>
        </w:tc>
      </w:tr>
      <w:tr>
        <w:tc>
          <w:tcPr>
            <w:tcW w:w="2310" w:type="dxa"/>
            <w:vAlign w:val="center"/>
            <w:vMerge w:val="restart"/>
          </w:tcPr>
          <w:p>
            <w:pPr/>
            <w:r>
              <w:rPr>
                <w:lang w:val="zh-CN"/>
                <w:rFonts w:ascii="Times New Roman" w:hAnsi="Times New Roman" w:cs="Times New Roman"/>
                <w:sz w:val="20"/>
                <w:szCs w:val="20"/>
                <w:color w:val="000000"/>
              </w:rPr>
              <w:t>2026/10/10</w:t>
            </w:r>
          </w:p>
        </w:tc>
        <w:tc>
          <w:tcPr>
            <w:tcW w:w="2310" w:type="dxa"/>
            <w:gridSpan w:val="7"/>
          </w:tcPr>
          <w:p>
            <w:pPr/>
            <w:r>
              <w:rPr>
                <w:lang w:val="zh-CN"/>
                <w:rFonts w:ascii="Times New Roman" w:hAnsi="Times New Roman" w:cs="Times New Roman"/>
                <w:b/>
                <w:color w:val="000000"/>
              </w:rPr>
              <w:t>阿克苏--刀郎部落--喀什</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刀郎部落】(含门票)刀郎部落拥有国家、自治区级非物质文化遗产“刀郎文化”[3]，其中包括刀郎木卡姆、刀郎麦西热瓦甫、刀郎热瓦甫艺术、慕萨莱思酿造工艺和大世界基尼斯之最－－最大年龄民间歌舞组合“刀郎演唱组合”；通过展示刀郎人历史遗物、重现刀郎人原始生活场景，全面地展现了刀郎人的建筑、饮食、手工制作及生活民俗。后前往喀什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早餐：含；午餐：含；晚餐：含；住宿：喀什</w:t>
            </w:r>
          </w:p>
        </w:tc>
      </w:tr>
      <w:tr>
        <w:tc>
          <w:tcPr>
            <w:tcW w:w="2310" w:type="dxa"/>
            <w:vAlign w:val="center"/>
            <w:vMerge w:val="restart"/>
          </w:tcPr>
          <w:p>
            <w:pPr/>
            <w:r>
              <w:rPr>
                <w:lang w:val="zh-CN"/>
                <w:rFonts w:ascii="Times New Roman" w:hAnsi="Times New Roman" w:cs="Times New Roman"/>
                <w:sz w:val="20"/>
                <w:szCs w:val="20"/>
                <w:color w:val="000000"/>
              </w:rPr>
              <w:t>2026/10/11</w:t>
            </w:r>
          </w:p>
        </w:tc>
        <w:tc>
          <w:tcPr>
            <w:tcW w:w="2310" w:type="dxa"/>
            <w:gridSpan w:val="7"/>
          </w:tcPr>
          <w:p>
            <w:pPr/>
            <w:r>
              <w:rPr>
                <w:lang w:val="zh-CN"/>
                <w:rFonts w:ascii="Times New Roman" w:hAnsi="Times New Roman" w:cs="Times New Roman"/>
                <w:b/>
                <w:color w:val="000000"/>
              </w:rPr>
              <w:t>喀什-白沙湖-卡拉库里湖-塔县</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参观和田玉博物馆后前往西域之花驼绒文化馆中餐后前往卡拉库里湖(含门票)卡拉库,里意为“黑海，海拔3600米，湖深30米，总面积10平方公里，是一座高山冰蚀冰碛湖，虽然它是叫"黑湖"，但并不是说明它的湖水或者湖面就总是黑色的，其实卡拉库里湖是一个变色湖，这是它的神奇所在，随着一天中光线的明暗与天气的好坏而变换色彩，如同被施展了魔法一般，在碧绿、淡黄、湛蓝、橘红等色彩中相互交替着。平时，湖水洁净碧清，洁如明镜，其上有水鸟、野鸭、天鹅等等。但当乌云满天，电闪雷鸣之时，湖水会神奇般地变成黑色，象灌进了铅一样，黑亮黑亮的，成为名副其实的黑水湖。千百年来，卡拉库里湖平静地躺在慕士塔格雪峰身旁，似妩媚少女依偎在英雄的怀抱，它们相互依托着矗立在这广阔的天地之间，不受任何打扰。湖水倒映出银色雪峰，湖光山色浑为一体，如诗如画使人沉醉迷恋。后参观中巴盖孜边境（爱国教育活动）后前往【白沙湖】(含门票白沙湖，又叫恰克拉克湖，白沙山和白沙湖位于通往塔县的G314国道边上，由于1000年来高原风沙的侵袭，使得沙湖周围的山遭受侵蚀风化成灰白色的沙子，形成了沙山，这里湖面如镜，白沙如雪，景观令人震撼。走在帕米尔高原的路上，感觉就向是走向了通往天际的路。在这条路上，让人感到有一种从头到脚的清透、明亮、纯美蓝蓝的天空，白云朵朵，象诗、象画、象仙境。这里的湖面如淡蓝色的镜面，湖岸上白沙堆积的沙山，在天地仓神的呵护下形成了一波一浪的纹路，又给白沙湖平添了几分说不出的平静。白沙如雪、雪山白沙倒影在湖面上，白色的沙山、蓝色的湖水，美轮美奂、心静如磬。后乘车前往塔县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早餐：含；午餐：含；晚餐：含；住宿：塔县</w:t>
            </w:r>
          </w:p>
        </w:tc>
      </w:tr>
      <w:tr>
        <w:tc>
          <w:tcPr>
            <w:tcW w:w="2310" w:type="dxa"/>
            <w:vAlign w:val="center"/>
            <w:vMerge w:val="restart"/>
          </w:tcPr>
          <w:p>
            <w:pPr/>
            <w:r>
              <w:rPr>
                <w:lang w:val="zh-CN"/>
                <w:rFonts w:ascii="Times New Roman" w:hAnsi="Times New Roman" w:cs="Times New Roman"/>
                <w:sz w:val="20"/>
                <w:szCs w:val="20"/>
                <w:color w:val="000000"/>
              </w:rPr>
              <w:t>2026/10/12</w:t>
            </w:r>
          </w:p>
        </w:tc>
        <w:tc>
          <w:tcPr>
            <w:tcW w:w="2310" w:type="dxa"/>
            <w:gridSpan w:val="7"/>
          </w:tcPr>
          <w:p>
            <w:pPr/>
            <w:r>
              <w:rPr>
                <w:lang w:val="zh-CN"/>
                <w:rFonts w:ascii="Times New Roman" w:hAnsi="Times New Roman" w:cs="Times New Roman"/>
                <w:b/>
                <w:color w:val="000000"/>
              </w:rPr>
              <w:t>塔县--盘龙古道---喀什</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游览盘龙古道盘龙古道也叫瓦恰公路，因其宛如盘旋的神龙盘卧在大地上一样，所以才被称为“盘龙古道”。它位于喀什地区塔什库尔干塔吉克自治县（简称塔县）瓦恰乡境内，公路全长75公里，而真正的盘龙道只有约30公里，有超过600个的S弯道，众多弯道180度，甚至270度，海拔跨度更是从4100米落降到3000米，整个落差有1100米。可以叫板云南怒江72道拐，完爆滇缅公路上的晴隆24道拐，在世界也独一无二，谓称中国道路建设的一大奇迹。途中观赏班迪尔蓝湖，晚抵达喀什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早餐：含；午餐：含；晚餐：含；住宿：喀什</w:t>
            </w:r>
          </w:p>
        </w:tc>
      </w:tr>
      <w:tr>
        <w:tc>
          <w:tcPr>
            <w:tcW w:w="2310" w:type="dxa"/>
            <w:vAlign w:val="center"/>
            <w:vMerge w:val="restart"/>
          </w:tcPr>
          <w:p>
            <w:pPr/>
            <w:r>
              <w:rPr>
                <w:lang w:val="zh-CN"/>
                <w:rFonts w:ascii="Times New Roman" w:hAnsi="Times New Roman" w:cs="Times New Roman"/>
                <w:sz w:val="20"/>
                <w:szCs w:val="20"/>
                <w:color w:val="000000"/>
              </w:rPr>
              <w:t>2026/10/13</w:t>
            </w:r>
          </w:p>
        </w:tc>
        <w:tc>
          <w:tcPr>
            <w:tcW w:w="2310" w:type="dxa"/>
            <w:gridSpan w:val="7"/>
          </w:tcPr>
          <w:p>
            <w:pPr/>
            <w:r>
              <w:rPr>
                <w:lang w:val="zh-CN"/>
                <w:rFonts w:ascii="Times New Roman" w:hAnsi="Times New Roman" w:cs="Times New Roman"/>
                <w:b/>
                <w:color w:val="000000"/>
              </w:rPr>
              <w:t>喀什-百年老茶馆-喀什老城-喀什-乌鲁木齐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餐参观和田玉博物馆，后参观喀什葛尔古城的开城仪式了解古西域小国家的民俗文化。后参观【喀什古城大巴扎了解当地特产。后参观百年老茶馆，后参观艾提录尔清真寺广场外观全国规模最大的清真寺之一，有着浓郁民族风格和宗教色彩的古建筑群的【艾提尕尔清真寺】维吾尔族古建筑艺术的典范，成为喀什古城的地方象征而名扬中外，寺院东侧正门口便是巨大的艾提尕尔广场，是喀什市的地标；平时在大广场上有很多人在此休闲游戏，长胡须老爷爷和维族小孩在广场边闲坐晒太阳，非常的休闲，场面也很安然，是拍摄人文景观的好地方。晚乘航班返回乌鲁木齐，抵达后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2026/10/14</w:t>
            </w:r>
          </w:p>
        </w:tc>
        <w:tc>
          <w:tcPr>
            <w:tcW w:w="2310" w:type="dxa"/>
            <w:gridSpan w:val="7"/>
          </w:tcPr>
          <w:p>
            <w:pPr/>
            <w:r>
              <w:rPr>
                <w:lang w:val="zh-CN"/>
                <w:rFonts w:ascii="Times New Roman" w:hAnsi="Times New Roman" w:cs="Times New Roman"/>
                <w:b/>
                <w:color w:val="000000"/>
              </w:rPr>
              <w:t>乌鲁木齐/昌吉/米泉--昆明</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后根据航班时间，安排司机人员送乌鲁木齐机场，乘飞机返回温馨的家，结束新疆愉快的旅程！</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住宿费用:指定酒店双人标间。我社不提供自然单间，如出现单男单女，由客人补单房差。新疆地区限速严重，行程中的住宿根据实际情况进行调整，不降低接待标准。2、用餐费用：全程含7早12正，餐标40元/正；房费中所含早餐，若客人不用，费用不退；此团价格为打包优惠价所有正餐不吃不退。。3、用车费用:车型根据此团游客人数而定，保证每人每正座，若客人自行放弃当日行程，车费不予退还。4、景点费用:实际游览景点（含景点首道大门票）：罗布人村寨，托木尔大峡谷，刀郎部落，白沙湖，卡拉库里湖。提示:门票不享受任何证件优惠退费6、费用说明:我社保留因不可抗拒因素（如天气、路况、航班原因等）对行程调整的权利，但行程内游览景点不减少，如因此不可抗拒因素造成客人滞留，或其他费用的增加，由客人自理、游客在旅游期间自动离团及不游景点，不用餐，旅行社不退任何费用7、儿童费用:1.2米以下儿童只含、车位、餐费，其他门票、房费自理。8、进店说明及个人消费:全程2个玉石购物店+1个新疆驼绒特产(景区内小摊以及购物不算购物店),进店游览时间约120分钟,如需购物或参加另行付费的旅游项目并和旅游者协商一致同时在当地补签以上自愿去购物店和参加另行付费旅游项目的相关合同行程外的自费项目、酒店内洗衣、理发、电话、传真、收费电视、饮品、烟酒等个人消费产生的费用。备注：此团价格为打包优惠后的价格，任何门票优惠证件，所有费用不用不退，敬请谅解；</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钮总</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任可梅</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10</w:t>
                  </w:r>
                  <w:r w:rsidR="00192D3B">
                    <w:rPr>
                      <w:rFonts w:asciiTheme="minorEastAsia" w:hAnsiTheme="minorEastAsia" w:hint="eastAsia"/>
                    </w:rPr>
                    <w:t xml:space="preserve">月 </w:t>
                  </w:r>
                  <w:r>
                    <w:rPr>
                      <w:rFonts w:asciiTheme="minorEastAsia" w:hAnsiTheme="minorEastAsia" w:hint="eastAsia"/>
                    </w:rPr>
                    <w:t>24</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2026/10/24 14:30:25</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