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个旧去哪儿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穿越南疆喀什之约双飞1卧8天（叶恒单团）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1、周德立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532501194911210023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2、武为风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532501194211170016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3、高亚辉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532501196704200649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4、姚兴旺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532501196308140613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5、许伟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532501196705130312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6、尚秀琼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510702196707200523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532501195604110625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8、王金祥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53250119500517001X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9、王永恒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532501195205070013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53250119551128006X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532501196404010923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12、张继芬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532501195612220023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13、万平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532501195505160010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14、赵桂荣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532501195408010627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15、万瑾娇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530112194911250522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16、张菊芬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532501195608090625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17、王富安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532501195902090319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18、张丽华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532501196007010022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19、徐慧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532501196005122522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20、何卫明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53250119611228253X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21、邓丽珠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532501195510020629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22、朱美琼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532501195509220068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23、张科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532523195805310031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24、张如芝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532501196007260021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11号12号13号会销成本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总金额：捌万柒仟玖佰玖拾元整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87990.00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13:34:34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