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蒙自七彩金桥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郭紫云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郭紫云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2025/10/10 14:24:34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