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红塔国旅</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禄丰肖炳珍</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13933333333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石荣宇</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XJT13FJ260526A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南北疆途双飞13日（转机/小宇）</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2026-05-26</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2026-06-07</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27(27大)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2026-05-26 MU2263 昆明→西安  09:50-12:00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启程 2026-05-26 MU2299 西安→乌鲁木齐  16:45-20:25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2026-06-07 FM9546 乌鲁木齐→天府 11:10-14:45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2026-06-07 MU5856 天府→昆明 19:05-20:3</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1、杨菊兰</w:t>
            </w:r>
          </w:p>
        </w:tc>
        <w:tc>
          <w:tcPr>
            <w:tcW w:w="2310" w:type="dxa"/>
            <w:vAlign w:val="center"/>
            <w:gridSpan w:val="2"/>
          </w:tcPr>
          <w:p>
            <w:pPr/>
            <w:r>
              <w:rPr>
                <w:lang w:val="zh-CN"/>
                <w:rFonts w:ascii="Times New Roman" w:hAnsi="Times New Roman" w:cs="Times New Roman"/>
                <w:sz w:val="20"/>
                <w:szCs w:val="20"/>
                <w:color w:val="000000"/>
              </w:rPr>
              <w:t>532331196608153026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2、苏泽凤</w:t>
            </w:r>
          </w:p>
        </w:tc>
        <w:tc>
          <w:tcPr>
            <w:tcW w:w="2310" w:type="dxa"/>
            <w:vAlign w:val="center"/>
            <w:gridSpan w:val="2"/>
          </w:tcPr>
          <w:p>
            <w:pPr/>
            <w:r>
              <w:rPr>
                <w:lang w:val="zh-CN"/>
                <w:rFonts w:ascii="Times New Roman" w:hAnsi="Times New Roman" w:cs="Times New Roman"/>
                <w:sz w:val="20"/>
                <w:szCs w:val="20"/>
                <w:color w:val="000000"/>
              </w:rPr>
              <w:t>532331196309050967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3、乔正发</w:t>
            </w:r>
          </w:p>
        </w:tc>
        <w:tc>
          <w:tcPr>
            <w:tcW w:w="2310" w:type="dxa"/>
            <w:vAlign w:val="center"/>
            <w:gridSpan w:val="2"/>
          </w:tcPr>
          <w:p>
            <w:pPr/>
            <w:r>
              <w:rPr>
                <w:lang w:val="zh-CN"/>
                <w:rFonts w:ascii="Times New Roman" w:hAnsi="Times New Roman" w:cs="Times New Roman"/>
                <w:sz w:val="20"/>
                <w:szCs w:val="20"/>
                <w:color w:val="000000"/>
              </w:rPr>
              <w:t>532331196212100091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4、杨发忠</w:t>
            </w:r>
          </w:p>
        </w:tc>
        <w:tc>
          <w:tcPr>
            <w:tcW w:w="2310" w:type="dxa"/>
            <w:vAlign w:val="center"/>
            <w:gridSpan w:val="2"/>
          </w:tcPr>
          <w:p>
            <w:pPr/>
            <w:r>
              <w:rPr>
                <w:lang w:val="zh-CN"/>
                <w:rFonts w:ascii="Times New Roman" w:hAnsi="Times New Roman" w:cs="Times New Roman"/>
                <w:sz w:val="20"/>
                <w:szCs w:val="20"/>
                <w:color w:val="000000"/>
              </w:rPr>
              <w:t>532331196312270995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5、杨绍芬</w:t>
            </w:r>
          </w:p>
        </w:tc>
        <w:tc>
          <w:tcPr>
            <w:tcW w:w="2310" w:type="dxa"/>
            <w:vAlign w:val="center"/>
            <w:gridSpan w:val="2"/>
          </w:tcPr>
          <w:p>
            <w:pPr/>
            <w:r>
              <w:rPr>
                <w:lang w:val="zh-CN"/>
                <w:rFonts w:ascii="Times New Roman" w:hAnsi="Times New Roman" w:cs="Times New Roman"/>
                <w:sz w:val="20"/>
                <w:szCs w:val="20"/>
                <w:color w:val="000000"/>
              </w:rPr>
              <w:t>532331196301020966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6、李束云</w:t>
            </w:r>
          </w:p>
        </w:tc>
        <w:tc>
          <w:tcPr>
            <w:tcW w:w="2310" w:type="dxa"/>
            <w:vAlign w:val="center"/>
            <w:gridSpan w:val="2"/>
          </w:tcPr>
          <w:p>
            <w:pPr/>
            <w:r>
              <w:rPr>
                <w:lang w:val="zh-CN"/>
                <w:rFonts w:ascii="Times New Roman" w:hAnsi="Times New Roman" w:cs="Times New Roman"/>
                <w:sz w:val="20"/>
                <w:szCs w:val="20"/>
                <w:color w:val="000000"/>
              </w:rPr>
              <w:t>532331196403100959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7、周翠芬</w:t>
            </w:r>
          </w:p>
        </w:tc>
        <w:tc>
          <w:tcPr>
            <w:tcW w:w="2310" w:type="dxa"/>
            <w:vAlign w:val="center"/>
            <w:gridSpan w:val="2"/>
          </w:tcPr>
          <w:p>
            <w:pPr/>
            <w:r>
              <w:rPr>
                <w:lang w:val="zh-CN"/>
                <w:rFonts w:ascii="Times New Roman" w:hAnsi="Times New Roman" w:cs="Times New Roman"/>
                <w:sz w:val="20"/>
                <w:szCs w:val="20"/>
                <w:color w:val="000000"/>
              </w:rPr>
              <w:t>532331196601110920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8、陈昆南</w:t>
            </w:r>
          </w:p>
        </w:tc>
        <w:tc>
          <w:tcPr>
            <w:tcW w:w="2310" w:type="dxa"/>
            <w:vAlign w:val="center"/>
            <w:gridSpan w:val="2"/>
          </w:tcPr>
          <w:p>
            <w:pPr/>
            <w:r>
              <w:rPr>
                <w:lang w:val="zh-CN"/>
                <w:rFonts w:ascii="Times New Roman" w:hAnsi="Times New Roman" w:cs="Times New Roman"/>
                <w:sz w:val="20"/>
                <w:szCs w:val="20"/>
                <w:color w:val="000000"/>
              </w:rPr>
              <w:t>532331196408080029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9、莽丽琼</w:t>
            </w:r>
          </w:p>
        </w:tc>
        <w:tc>
          <w:tcPr>
            <w:tcW w:w="2310" w:type="dxa"/>
            <w:vAlign w:val="center"/>
            <w:gridSpan w:val="2"/>
          </w:tcPr>
          <w:p>
            <w:pPr/>
            <w:r>
              <w:rPr>
                <w:lang w:val="zh-CN"/>
                <w:rFonts w:ascii="Times New Roman" w:hAnsi="Times New Roman" w:cs="Times New Roman"/>
                <w:sz w:val="20"/>
                <w:szCs w:val="20"/>
                <w:color w:val="000000"/>
              </w:rPr>
              <w:t>532331196901200063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10、赵家良</w:t>
            </w:r>
          </w:p>
        </w:tc>
        <w:tc>
          <w:tcPr>
            <w:tcW w:w="2310" w:type="dxa"/>
            <w:vAlign w:val="center"/>
            <w:gridSpan w:val="2"/>
          </w:tcPr>
          <w:p>
            <w:pPr/>
            <w:r>
              <w:rPr>
                <w:lang w:val="zh-CN"/>
                <w:rFonts w:ascii="Times New Roman" w:hAnsi="Times New Roman" w:cs="Times New Roman"/>
                <w:sz w:val="20"/>
                <w:szCs w:val="20"/>
                <w:color w:val="000000"/>
              </w:rPr>
              <w:t>532331196603122458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11、汪琼兰</w:t>
            </w:r>
          </w:p>
        </w:tc>
        <w:tc>
          <w:tcPr>
            <w:tcW w:w="2310" w:type="dxa"/>
            <w:vAlign w:val="center"/>
            <w:gridSpan w:val="2"/>
          </w:tcPr>
          <w:p>
            <w:pPr/>
            <w:r>
              <w:rPr>
                <w:lang w:val="zh-CN"/>
                <w:rFonts w:ascii="Times New Roman" w:hAnsi="Times New Roman" w:cs="Times New Roman"/>
                <w:sz w:val="20"/>
                <w:szCs w:val="20"/>
                <w:color w:val="000000"/>
              </w:rPr>
              <w:t>532331196706110927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12、詹永碧</w:t>
            </w:r>
          </w:p>
        </w:tc>
        <w:tc>
          <w:tcPr>
            <w:tcW w:w="2310" w:type="dxa"/>
            <w:vAlign w:val="center"/>
            <w:gridSpan w:val="2"/>
          </w:tcPr>
          <w:p>
            <w:pPr/>
            <w:r>
              <w:rPr>
                <w:lang w:val="zh-CN"/>
                <w:rFonts w:ascii="Times New Roman" w:hAnsi="Times New Roman" w:cs="Times New Roman"/>
                <w:sz w:val="20"/>
                <w:szCs w:val="20"/>
                <w:color w:val="000000"/>
              </w:rPr>
              <w:t>532331195610070911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13、李丽华</w:t>
            </w:r>
          </w:p>
        </w:tc>
        <w:tc>
          <w:tcPr>
            <w:tcW w:w="2310" w:type="dxa"/>
            <w:vAlign w:val="center"/>
            <w:gridSpan w:val="2"/>
          </w:tcPr>
          <w:p>
            <w:pPr/>
            <w:r>
              <w:rPr>
                <w:lang w:val="zh-CN"/>
                <w:rFonts w:ascii="Times New Roman" w:hAnsi="Times New Roman" w:cs="Times New Roman"/>
                <w:sz w:val="20"/>
                <w:szCs w:val="20"/>
                <w:color w:val="000000"/>
              </w:rPr>
              <w:t>532331196412230966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14、年光星</w:t>
            </w:r>
          </w:p>
        </w:tc>
        <w:tc>
          <w:tcPr>
            <w:tcW w:w="2310" w:type="dxa"/>
            <w:vAlign w:val="center"/>
            <w:gridSpan w:val="2"/>
          </w:tcPr>
          <w:p>
            <w:pPr/>
            <w:r>
              <w:rPr>
                <w:lang w:val="zh-CN"/>
                <w:rFonts w:ascii="Times New Roman" w:hAnsi="Times New Roman" w:cs="Times New Roman"/>
                <w:sz w:val="20"/>
                <w:szCs w:val="20"/>
                <w:color w:val="000000"/>
              </w:rPr>
              <w:t>532331196311090933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15、李德美</w:t>
            </w:r>
          </w:p>
        </w:tc>
        <w:tc>
          <w:tcPr>
            <w:tcW w:w="2310" w:type="dxa"/>
            <w:vAlign w:val="center"/>
            <w:gridSpan w:val="2"/>
          </w:tcPr>
          <w:p>
            <w:pPr/>
            <w:r>
              <w:rPr>
                <w:lang w:val="zh-CN"/>
                <w:rFonts w:ascii="Times New Roman" w:hAnsi="Times New Roman" w:cs="Times New Roman"/>
                <w:sz w:val="20"/>
                <w:szCs w:val="20"/>
                <w:color w:val="000000"/>
              </w:rPr>
              <w:t>532331196902171823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16、王文忠</w:t>
            </w:r>
          </w:p>
        </w:tc>
        <w:tc>
          <w:tcPr>
            <w:tcW w:w="2310" w:type="dxa"/>
            <w:vAlign w:val="center"/>
            <w:gridSpan w:val="2"/>
          </w:tcPr>
          <w:p>
            <w:pPr/>
            <w:r>
              <w:rPr>
                <w:lang w:val="zh-CN"/>
                <w:rFonts w:ascii="Times New Roman" w:hAnsi="Times New Roman" w:cs="Times New Roman"/>
                <w:sz w:val="20"/>
                <w:szCs w:val="20"/>
                <w:color w:val="000000"/>
              </w:rPr>
              <w:t>532331196310271812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17、普翠枝</w:t>
            </w:r>
          </w:p>
        </w:tc>
        <w:tc>
          <w:tcPr>
            <w:tcW w:w="2310" w:type="dxa"/>
            <w:vAlign w:val="center"/>
            <w:gridSpan w:val="2"/>
          </w:tcPr>
          <w:p>
            <w:pPr/>
            <w:r>
              <w:rPr>
                <w:lang w:val="zh-CN"/>
                <w:rFonts w:ascii="Times New Roman" w:hAnsi="Times New Roman" w:cs="Times New Roman"/>
                <w:sz w:val="20"/>
                <w:szCs w:val="20"/>
                <w:color w:val="000000"/>
              </w:rPr>
              <w:t>532331194901020039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18、杨正连</w:t>
            </w:r>
          </w:p>
        </w:tc>
        <w:tc>
          <w:tcPr>
            <w:tcW w:w="2310" w:type="dxa"/>
            <w:vAlign w:val="center"/>
            <w:gridSpan w:val="2"/>
          </w:tcPr>
          <w:p>
            <w:pPr/>
            <w:r>
              <w:rPr>
                <w:lang w:val="zh-CN"/>
                <w:rFonts w:ascii="Times New Roman" w:hAnsi="Times New Roman" w:cs="Times New Roman"/>
                <w:sz w:val="20"/>
                <w:szCs w:val="20"/>
                <w:color w:val="000000"/>
              </w:rPr>
              <w:t>532331194903103620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19、钱树琼</w:t>
            </w:r>
          </w:p>
        </w:tc>
        <w:tc>
          <w:tcPr>
            <w:tcW w:w="2310" w:type="dxa"/>
            <w:vAlign w:val="center"/>
            <w:gridSpan w:val="2"/>
          </w:tcPr>
          <w:p>
            <w:pPr/>
            <w:r>
              <w:rPr>
                <w:lang w:val="zh-CN"/>
                <w:rFonts w:ascii="Times New Roman" w:hAnsi="Times New Roman" w:cs="Times New Roman"/>
                <w:sz w:val="20"/>
                <w:szCs w:val="20"/>
                <w:color w:val="000000"/>
              </w:rPr>
              <w:t>532323195705030920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20、倪银福</w:t>
            </w:r>
          </w:p>
        </w:tc>
        <w:tc>
          <w:tcPr>
            <w:tcW w:w="2310" w:type="dxa"/>
            <w:vAlign w:val="center"/>
            <w:gridSpan w:val="2"/>
          </w:tcPr>
          <w:p>
            <w:pPr/>
            <w:r>
              <w:rPr>
                <w:lang w:val="zh-CN"/>
                <w:rFonts w:ascii="Times New Roman" w:hAnsi="Times New Roman" w:cs="Times New Roman"/>
                <w:sz w:val="20"/>
                <w:szCs w:val="20"/>
                <w:color w:val="000000"/>
              </w:rPr>
              <w:t>532331195201280037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21、杨国华</w:t>
            </w:r>
          </w:p>
        </w:tc>
        <w:tc>
          <w:tcPr>
            <w:tcW w:w="2310" w:type="dxa"/>
            <w:vAlign w:val="center"/>
            <w:gridSpan w:val="2"/>
          </w:tcPr>
          <w:p>
            <w:pPr/>
            <w:r>
              <w:rPr>
                <w:lang w:val="zh-CN"/>
                <w:rFonts w:ascii="Times New Roman" w:hAnsi="Times New Roman" w:cs="Times New Roman"/>
                <w:sz w:val="20"/>
                <w:szCs w:val="20"/>
                <w:color w:val="000000"/>
              </w:rPr>
              <w:t>532331196912040026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22、李本金</w:t>
            </w:r>
          </w:p>
        </w:tc>
        <w:tc>
          <w:tcPr>
            <w:tcW w:w="2310" w:type="dxa"/>
            <w:vAlign w:val="center"/>
            <w:gridSpan w:val="2"/>
          </w:tcPr>
          <w:p>
            <w:pPr/>
            <w:r>
              <w:rPr>
                <w:lang w:val="zh-CN"/>
                <w:rFonts w:ascii="Times New Roman" w:hAnsi="Times New Roman" w:cs="Times New Roman"/>
                <w:sz w:val="20"/>
                <w:szCs w:val="20"/>
                <w:color w:val="000000"/>
              </w:rPr>
              <w:t>532331196112030014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23、张远忠</w:t>
            </w:r>
          </w:p>
        </w:tc>
        <w:tc>
          <w:tcPr>
            <w:tcW w:w="2310" w:type="dxa"/>
            <w:vAlign w:val="center"/>
            <w:gridSpan w:val="2"/>
          </w:tcPr>
          <w:p>
            <w:pPr/>
            <w:r>
              <w:rPr>
                <w:lang w:val="zh-CN"/>
                <w:rFonts w:ascii="Times New Roman" w:hAnsi="Times New Roman" w:cs="Times New Roman"/>
                <w:sz w:val="20"/>
                <w:szCs w:val="20"/>
                <w:color w:val="000000"/>
              </w:rPr>
              <w:t>53233119631020031X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24、杨建琼</w:t>
            </w:r>
          </w:p>
        </w:tc>
        <w:tc>
          <w:tcPr>
            <w:tcW w:w="2310" w:type="dxa"/>
            <w:vAlign w:val="center"/>
            <w:gridSpan w:val="2"/>
          </w:tcPr>
          <w:p>
            <w:pPr/>
            <w:r>
              <w:rPr>
                <w:lang w:val="zh-CN"/>
                <w:rFonts w:ascii="Times New Roman" w:hAnsi="Times New Roman" w:cs="Times New Roman"/>
                <w:sz w:val="20"/>
                <w:szCs w:val="20"/>
                <w:color w:val="000000"/>
              </w:rPr>
              <w:t>532331196912140086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25、冯云光</w:t>
            </w:r>
          </w:p>
        </w:tc>
        <w:tc>
          <w:tcPr>
            <w:tcW w:w="2310" w:type="dxa"/>
            <w:vAlign w:val="center"/>
            <w:gridSpan w:val="2"/>
          </w:tcPr>
          <w:p>
            <w:pPr/>
            <w:r>
              <w:rPr>
                <w:lang w:val="zh-CN"/>
                <w:rFonts w:ascii="Times New Roman" w:hAnsi="Times New Roman" w:cs="Times New Roman"/>
                <w:sz w:val="20"/>
                <w:szCs w:val="20"/>
                <w:color w:val="000000"/>
              </w:rPr>
              <w:t>532331196509210013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26、饶振东</w:t>
            </w:r>
          </w:p>
        </w:tc>
        <w:tc>
          <w:tcPr>
            <w:tcW w:w="2310" w:type="dxa"/>
            <w:vAlign w:val="center"/>
            <w:gridSpan w:val="2"/>
          </w:tcPr>
          <w:p>
            <w:pPr/>
            <w:r>
              <w:rPr>
                <w:lang w:val="zh-CN"/>
                <w:rFonts w:ascii="Times New Roman" w:hAnsi="Times New Roman" w:cs="Times New Roman"/>
                <w:sz w:val="20"/>
                <w:szCs w:val="20"/>
                <w:color w:val="000000"/>
              </w:rPr>
              <w:t>532331196203230038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27、白兰芝</w:t>
            </w:r>
          </w:p>
        </w:tc>
        <w:tc>
          <w:tcPr>
            <w:tcW w:w="2310" w:type="dxa"/>
            <w:vAlign w:val="center"/>
            <w:gridSpan w:val="2"/>
          </w:tcPr>
          <w:p>
            <w:pPr/>
            <w:r>
              <w:rPr>
                <w:lang w:val="zh-CN"/>
                <w:rFonts w:ascii="Times New Roman" w:hAnsi="Times New Roman" w:cs="Times New Roman"/>
                <w:sz w:val="20"/>
                <w:szCs w:val="20"/>
                <w:color w:val="000000"/>
              </w:rPr>
              <w:t>532331196305100082</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27</w:t>
            </w:r>
          </w:p>
        </w:tc>
        <w:tc>
          <w:tcPr>
            <w:tcW w:w="2310" w:type="dxa"/>
          </w:tcPr>
          <w:p>
            <w:pPr/>
            <w:r>
              <w:rPr>
                <w:lang w:val="zh-CN"/>
                <w:rFonts w:ascii="Times New Roman" w:hAnsi="Times New Roman" w:cs="Times New Roman"/>
                <w:sz w:val="20"/>
                <w:szCs w:val="20"/>
                <w:color w:val="000000"/>
              </w:rPr>
              <w:t>5080.00</w:t>
            </w:r>
          </w:p>
        </w:tc>
        <w:tc>
          <w:tcPr>
            <w:tcW w:w="2310" w:type="dxa"/>
          </w:tcPr>
          <w:p>
            <w:pPr/>
            <w:r>
              <w:rPr>
                <w:lang w:val="zh-CN"/>
                <w:rFonts w:ascii="Times New Roman" w:hAnsi="Times New Roman" w:cs="Times New Roman"/>
                <w:sz w:val="20"/>
                <w:szCs w:val="20"/>
                <w:color w:val="000000"/>
              </w:rPr>
              <w:t>137160.00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总金额：壹拾叁万柒仟壹佰陆拾元整</w:t>
            </w:r>
          </w:p>
        </w:tc>
        <w:tc>
          <w:tcPr>
            <w:tcW w:w="2310" w:type="dxa"/>
            <w:textDirection w:val="right"/>
            <w:gridSpan w:val="3"/>
          </w:tcPr>
          <w:p>
            <w:pPr/>
            <w:r>
              <w:rPr>
                <w:lang w:val="zh-CN"/>
                <w:rFonts w:ascii="Times New Roman" w:hAnsi="Times New Roman" w:cs="Times New Roman"/>
                <w:b/>
                <w:color w:val="FF0000"/>
              </w:rPr>
              <w:t>137160.00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2026/05/26</w:t>
            </w:r>
          </w:p>
        </w:tc>
        <w:tc>
          <w:tcPr>
            <w:tcW w:w="2310" w:type="dxa"/>
            <w:gridSpan w:val="7"/>
          </w:tcPr>
          <w:p>
            <w:pPr/>
            <w:r>
              <w:rPr>
                <w:lang w:val="zh-CN"/>
                <w:rFonts w:ascii="Times New Roman" w:hAnsi="Times New Roman" w:cs="Times New Roman"/>
                <w:b/>
                <w:color w:val="000000"/>
              </w:rPr>
              <w:t>昆明-中转地-乌鲁木齐(飞机)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，它是亚洲的地理中心，也是举世闻名的古“丝绸之路 ”新北道的必经之 路。接站后前往酒店办理入住，三餐敬请自理。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2026/05/27</w:t>
            </w:r>
          </w:p>
        </w:tc>
        <w:tc>
          <w:tcPr>
            <w:tcW w:w="2310" w:type="dxa"/>
            <w:gridSpan w:val="7"/>
          </w:tcPr>
          <w:p>
            <w:pPr/>
            <w:r>
              <w:rPr>
                <w:lang w:val="zh-CN"/>
                <w:rFonts w:ascii="Times New Roman" w:hAnsi="Times New Roman" w:cs="Times New Roman"/>
                <w:b/>
                <w:color w:val="000000"/>
              </w:rPr>
              <w:t>乌鲁木齐/昌吉-可可托海-富蕴县（约580KM，约6小时车程）(大巴)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、途径火烧山、卡拉麦里有蹄类自然保护区，有幸可观赏到普氏野马、蒙   古野驴、黄羊等野生动物。途观好似北国江南的“可可苏里”（又名“鸭野湖”），红雁天鹅云集，野鸭密密匝匝，追逐嬉戏；秋苇迎风，一  风一景，轻唱低吟，清丽流韵。远眺“伊雷木湖”湖面深邃墨兰，幽如巨镜，青山、白云、彩霞倒影其中，好似一幅浓墨泼洒的中国画（视情   况停留拍照约30分钟）。进入【可可托海国家地质公园】（含门票+区间车）可可托海意思为 "绿色的丛林"。蒙古语意为 "蓝色的河湾"，正  如其名，可可托海的水是蓝色的和绿色的，这里是全国第二寒极。它以优美的峡谷河流、 山石林地、矿产资源、寒极湖泊和奇异的地震断裂 带为自然景色，融地质文化、地域特色、 民族风情于一体，以观光旅游、休闲度假、特种旅游（徒步、摄影等）、科学考察等为主要特色的 大型旅游景区。我们一起寻找传说中的可可托海牧羊人！参观【白桦林】 ，野生桦树林生长在额尔齐斯河凸岸河湾上，妩媚婆娑，柔软的 枝条舒缓下垂，伴着清风纤纤舞动，绰约若处子，曼妙无比；密生群居的白桦林华草铺地，峰蝶流连花间，百鸟啼转枝头，鱼儿翔游浅水， 墨清松涛浓情淡染， 山清林绿如诗如画。【神钟山】 ，又称阿米尔萨拉峰。一座神奇绝妙状如倒扣的石钟的花岗岩奇峰在额河南岸平地而 起，相对高度351米 ，孤峰傲立为阿尔泰山之最。神钟山犹如巨神插足碧水绿荫之间，头枕蓝天白云，显得巍峨神奇，变幻莫测。岩壁缝  上生长著白桦树、青松和西伯利亚云杉，雨过天晴，彩虹划天而过，景色十分壮观。后乘车前往酒店入住休息。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2026/05/28</w:t>
            </w:r>
          </w:p>
        </w:tc>
        <w:tc>
          <w:tcPr>
            <w:tcW w:w="2310" w:type="dxa"/>
            <w:gridSpan w:val="7"/>
          </w:tcPr>
          <w:p>
            <w:pPr/>
            <w:r>
              <w:rPr>
                <w:lang w:val="zh-CN"/>
                <w:rFonts w:ascii="Times New Roman" w:hAnsi="Times New Roman" w:cs="Times New Roman"/>
                <w:b/>
                <w:color w:val="000000"/>
              </w:rPr>
              <w:t>富蕴县--喀纳斯湖--贾登峪/冲乎尔/黑流滩布尔津/福海（约190KM ，约3.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早餐后，前往游览国家【5A级生态自然保护区—喀纳斯自然保护区】（ 含门票+ 区间车），喀纳斯景区先后荣获国家5A级景区、 中  国最美十大湖泊、 中国最美十大秋色、并首批入选《中国自然遗产、国家自然与文化双遗产预备名录》。喀纳斯湖是第四纪冰川作用形成的  高山湖泊 。乘坐景区区间车进入景区 ；一路欣赏原始森林， 白桦林景区；游览三道湾：【神仙湾】【卧龙湾】及【月亮湾】 ，月亮湾会随  着喀纳斯湖水颜色变化而变化，是镶在喀纳斯河的一颗明珠，美丽静谧的月亮湾是喀纳斯的标志景点 ，可自费乘【喀纳斯湖】 游船到三道  湾观喀纳斯湖两岸秀美景色 ）观喀纳斯晨曦 、云海佛光可一览湖景鱼跃，只见湖水湛蓝，湖畔山坡由下向上，可见苍绿的云杉， 白雪皑皑的 山头，衬以轻云淡抹的蓝天，湖光山色，交相辉映，不禁让人顿生此景只应天上有！午后下山前往【五彩滩景区】（赠送景点，不去不退 ，  不做等价交换），它毗邻碧波荡漾的额尔齐斯河，与对岸葱郁青翠的河谷风光遥相辉映，可谓 "一河隔两岸， 自有两重天 " 由于河岸岩层间抗   风化能力的强弱程度不一而形成了参差不齐的轮廓 ，这里的岩石颜色多变 ，且在落日时分的阳光照射下 ，岩石的色彩以红色为主，间以绿 、紫、黄、白、黑及过渡色彩，色彩斑斓。每当刮风的时候，沟壑里、岩石下，到处都会发出长短不一、高低不同的怪叫声；后乘车前往酒店入 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2026/05/29</w:t>
            </w:r>
          </w:p>
        </w:tc>
        <w:tc>
          <w:tcPr>
            <w:tcW w:w="2310" w:type="dxa"/>
            <w:gridSpan w:val="7"/>
          </w:tcPr>
          <w:p>
            <w:pPr/>
            <w:r>
              <w:rPr>
                <w:lang w:val="zh-CN"/>
                <w:rFonts w:ascii="Times New Roman" w:hAnsi="Times New Roman" w:cs="Times New Roman"/>
                <w:b/>
                <w:color w:val="000000"/>
              </w:rPr>
              <w:t>贾登峪/冲乎尔/黑流滩/禾木村/阿禾公路-贾布尔津/福海（约260公里 ，约4小时车程）(大巴)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，抵达被誉为神的自留地的禾木村。参观【禾木古村景区】（含门票+区间车）  ,置身禾木村，你一定会怀疑自己是否来到了传说中霍比特人的家园——夏尔国。点落于狭长山谷中的座座木屋炊烟袅袅 ，阳光愉快地洒  在山坡金色的白桦林上，牛羊在山下悠闲自得地埋头吃草，村旁流淌的蓝色禾木河水边。禾木村是一个被白桦树 ，雪山和禾木河流包围    的美丽村庄， 自然风光原始，人迹罕至，在禾木河边摄影拍照，徒步沿栈道赴观景台观禾木村风貌，仿佛置身世外，享受被国内摄影爱   好者誉为“人间仙境 ”禾木。河从村边流淌而过，在树林中转了一个弯，继续向西奔流，汇入布尔津河。 白云朵朵，飘浮在山谷的上空 ， 阳光倏而从云层的裂隙中透出一屡金光，播撒在禾木村上，面对如此美景，感叹当年图瓦人的祖先，为躲避战乱，找到如此一片与世隔绝    的净土，定居繁衍了下来，如果陶渊明先生有幸到此，恐怕又要有一篇《桃花源记》了。后乘车浏览【阿禾公路】途观【托勒海特大草原】为北疆最大的夏牧场之一草原地处高山盆地，昼夜温差显著，降水充沛形成晨雾与云海奇观夏季水草丰茂，分布十里花海、伊列克石林等 自然景观雨后清晨可观测到佛光现象，云海翻涌时形成“云上云下双世界”的视觉奇观，后途观【通巴森林】新疆阿勒泰市通巴森林，宛  如大自然精心绘制的生态长卷。步入这片林海，层层叠叠的苍翠枝叶一眼望不到边，好似绿色浪潮从脚下涌向远方。在阳光的滋养下，山花肆  意生长，为森林增添了灵动一笔，勾勒出独有的浪漫与生机，游览结束后，前往酒店办理入住。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2026/05/30</w:t>
            </w:r>
          </w:p>
        </w:tc>
        <w:tc>
          <w:tcPr>
            <w:tcW w:w="2310" w:type="dxa"/>
            <w:gridSpan w:val="7"/>
          </w:tcPr>
          <w:p>
            <w:pPr/>
            <w:r>
              <w:rPr>
                <w:lang w:val="zh-CN"/>
                <w:rFonts w:ascii="Times New Roman" w:hAnsi="Times New Roman" w:cs="Times New Roman"/>
                <w:b/>
                <w:color w:val="000000"/>
              </w:rPr>
              <w:t>布尔津/福海---乌鲁木齐/昌吉（约400KM,约4.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早餐后乘车前往福海县乌伦古湖【海上魔鬼城】（含门票），地处吉力湖（乌伦古湖小海子）东岸，乌伦古河入湖口，俗称东河口。距离县城约30公 里，交通便利。站在湖口东望，距湖岸百米处，遗存着一片十分罕见的丹地貌，呈南北向，绵延十余里，坡体呈斗圆形，环绕着小海子。依次排列着情人谷   、蛇谷、断桥谷、绝情谷、九曲回肠谷、仙鹤谷、迷魂谷、神鹰谷、猎隼谷这各具特色的九大峡谷。 由于长年的风蚀雨蛀， 由此形成造型奇特的地貌景观。 有的象壮丽的宫殿，有的象神秘庄严的庙宇，有的象仰天长啸的雄狮......，维妙维肖，巧夺天工。远远望去，就象一座飘浮在水面上的城堡，因此被当地人形 象地称为“海上魔鬼城 ”。后乘车沿S21沙漠高速公路返回。公路位于古尔班通古特沙漠，新疆准噶尔盆地中央。是玛纳斯河以东及乌伦古河以南的中   国第二大沙漠， 同时也是中国面积最大的固定、半固定沙漠 ，面积大约4.88万平方公里。沙漠里冬季有较多积雪，春季融雪后，古尔班通古特沙漠特有  的短命植物迅速萌芽开花，这时，沙漠里一片草绿花鲜，繁花似锦，把沙漠装点得生机勃勃，充满诗情画意。晚抵达昌吉/乌鲁木齐入住酒店休息。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2026/05/31</w:t>
            </w:r>
          </w:p>
        </w:tc>
        <w:tc>
          <w:tcPr>
            <w:tcW w:w="2310" w:type="dxa"/>
            <w:gridSpan w:val="7"/>
          </w:tcPr>
          <w:p>
            <w:pPr/>
            <w:r>
              <w:rPr>
                <w:lang w:val="zh-CN"/>
                <w:rFonts w:ascii="Times New Roman" w:hAnsi="Times New Roman" w:cs="Times New Roman"/>
                <w:b/>
                <w:color w:val="000000"/>
              </w:rPr>
              <w:t>乌鲁木齐/昌吉--天池--乌鲁木齐/昌吉（单程100公里， 1.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早餐后前往参观【和田玉展览中心】,和田玉是中国四大名玉之一、是玉石中的高档玉石，而且是中国国石的候选玉石之一，是玉石 中的极品。后乘车赴亚欧大陆腹地干旱区自然景观的代表—天山天池，一段美好的神话传说，激发了古往今来多少文人墨客的无尽遐想。前往参观【西域驼绒文化馆】（ 活动时间不低于120分钟）是广州市政府援疆一个扶贫项目，拉动本土企业发展32家，带动就业人数   100余人，馆内展示有兵团建设历史，援疆企业成果，新疆本土民族乐器 ，喀什土陶，纺纱车， 民族服装，驼绒产品，新疆长绒棉等后漫  步在岁月沉淀的喀什老街上，你所能感受的，是一份经过历史沉淀的美好。后游览【天山天池风景区】 (含门票+区间车）：世界自然遗产   , 国家5A级景区 ，国家重点风景名胜区，国家地质公园，全国文明风景旅游区， 国际人与自然生物圈保护区， 中国最佳旅游去处，最佳    资源保护的中国十大风景名胜区， 中国十大魅力休闲旅游湖泊 ，以高山湖泊为中心的自然风景区，融森林、草原、雪山、人文景观为一体 , 形成别具一格的风光特色。这里雪峰倒映、云杉环拥、碧水似镜、风光如画、空气清新、清爽宜人，同时也是避暑胜地。可根据实际情况   , 自行参观【石门一线】、【龙潭碧月】、【定海神针】、【南山望雪】、【西山观松】。游览结束后返回乌鲁木齐入住酒店。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2026/06/01</w:t>
            </w:r>
          </w:p>
        </w:tc>
        <w:tc>
          <w:tcPr>
            <w:tcW w:w="2310" w:type="dxa"/>
            <w:gridSpan w:val="7"/>
          </w:tcPr>
          <w:p>
            <w:pPr/>
            <w:r>
              <w:rPr>
                <w:lang w:val="zh-CN"/>
                <w:rFonts w:ascii="Times New Roman" w:hAnsi="Times New Roman" w:cs="Times New Roman"/>
                <w:b/>
                <w:color w:val="000000"/>
              </w:rPr>
              <w:t>乌鲁木齐/昌吉--吐鲁番/托克逊（ 180公里，约2小时车程）(大巴)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早餐后前往参观【和田玉博物馆】,后乘车前往参观丝绸之路上的重镇之一吐鲁番，感受浓郁的名族风情和人文特点。沿途经过全国最大的风  力发电站--达坂城风力发电站，十里盐湖。抵达吐鲁番参观【郡王府坎儿井】（含门票），坎儿井是荒漠地区一特殊灌溉系统 ，与万里长城 、京杭大运河并称为中国古代三大工程。 吐鲁番的坎儿井总数达1100多条，全长约5000公里。是古代吐鲁番各族劳动群众，根据盆地地  理条件、太阳辐射和大气环流的特点，经过长期生产实践创造出来的 ，是吐鲁番盆地利用地面坡度引用地下水的一种独具特色的地下水  利工程 。后前往西游记中的孙悟空三借芭蕉扇的【火焰山】（含门票）参观，火焰山，维吾尔语称“克孜勒塔格”，意为“红山”，唐人以 其炎热曾名为“火山”。山长100多公里，最宽处达10公里，火焰山是中国最热的地方，夏季最高气温高达摄氏47.8度，地表最高温度高达    摄氏70度以上，沙窝里可烤熟鸡蛋。赠送参观吐鲁番【维吾尔民族家访】 ，在葡萄架下品尝各类葡萄干果，欣赏维吾尔民族原生态歌舞 ， 学几句维吾尔语言，跳几步维吾尔舞蹈，与当地居民零距离接触。晚住吐鲁番市。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2026/06/02</w:t>
            </w:r>
          </w:p>
        </w:tc>
        <w:tc>
          <w:tcPr>
            <w:tcW w:w="2310" w:type="dxa"/>
            <w:gridSpan w:val="7"/>
          </w:tcPr>
          <w:p>
            <w:pPr/>
            <w:r>
              <w:rPr>
                <w:lang w:val="zh-CN"/>
                <w:rFonts w:ascii="Times New Roman" w:hAnsi="Times New Roman" w:cs="Times New Roman"/>
                <w:b/>
                <w:color w:val="000000"/>
              </w:rPr>
              <w:t>乌鲁木齐-天山胜利隧道-罗布人村寨(大巴)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早餐后乘车沿天山胜利隧道赴前往游览--【罗布人村寨】（含门票+区间车）村寨方圆72平方公里，有二十余户人家，是中国西部地域面积最大的村庄之一。属琼库勒牧 场，是一处罗布人居住的世外桃源，寨区涵盖【塔克拉玛干沙漠】 、游移湖泊、塔里木河、原始胡杨林 、草原和罗布人。最大沙漠 、 最长的内陆河、最大的绿色走廊和丝绸之路在这里交汇，形成了黄金品质的天然景观。中国面积最大的塔克拉玛干沙漠在景区南面，连 绵起伏，茫茫无边，汹涌澎湃。骑“沙漠之舟 ”涉沙海深处  ,看大漠风光，听驼铃遗韵，悠悠情怀，心旷神怡。晚抵达库尔勒酒店入住休 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2026/06/03</w:t>
            </w:r>
          </w:p>
        </w:tc>
        <w:tc>
          <w:tcPr>
            <w:tcW w:w="2310" w:type="dxa"/>
            <w:gridSpan w:val="7"/>
          </w:tcPr>
          <w:p>
            <w:pPr/>
            <w:r>
              <w:rPr>
                <w:lang w:val="zh-CN"/>
                <w:rFonts w:ascii="Times New Roman" w:hAnsi="Times New Roman" w:cs="Times New Roman"/>
                <w:b/>
                <w:color w:val="000000"/>
              </w:rPr>
              <w:t>库尔勒/和静（约370公里，约5小时车程）(大巴)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早餐后前往中国第二大草原【巴音布鲁克草原】（含门票 +区间车），巴音布鲁克草原蒙古语意为“泉源丰富 ”，于海拔约2500米， 面积22000平方公里 ，是我国第二大草原，仅次于内蒙古额尔多斯草原 ，被国家地理杂志评我国最美的湿地草原第二名。这里是天山环  抱中一块苍翠的高山盆地，地势平坦，雨雪充沛，水草丰盛，是典型禾草草甸草原，也是天山南麓最肥美的夏牧场。每当盛夏来临，巴音   布鲁克草原层峦叠翠，绿野无限，湖沼广布，羊遍野，雪莲似的蒙古包坐落其间，一片兴旺繁荣的景象。开都河的九曲十八弯，是巴音布   鲁克最美丽的景点；外迷人，尤其是日落时分，夕阳的余晖洒在每道河的河湾上 ，美丽万分。这里是有全国第一个天鹅自然保护区—鹅   湖。我们在这里寻觅珍稀鸟类的优美身姿与纯洁高雅，感受蒙古牧民的热情豪放。晚住那拉提，今天行程束。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早餐：含；午餐：含；晚餐：含；住宿：巴音</w:t>
            </w:r>
          </w:p>
        </w:tc>
      </w:tr>
      <w:tr>
        <w:tc>
          <w:tcPr>
            <w:tcW w:w="2310" w:type="dxa"/>
            <w:vAlign w:val="center"/>
            <w:vMerge w:val="restart"/>
          </w:tcPr>
          <w:p>
            <w:pPr/>
            <w:r>
              <w:rPr>
                <w:lang w:val="zh-CN"/>
                <w:rFonts w:ascii="Times New Roman" w:hAnsi="Times New Roman" w:cs="Times New Roman"/>
                <w:sz w:val="20"/>
                <w:szCs w:val="20"/>
                <w:color w:val="000000"/>
              </w:rPr>
              <w:t>2026/06/04</w:t>
            </w:r>
          </w:p>
        </w:tc>
        <w:tc>
          <w:tcPr>
            <w:tcW w:w="2310" w:type="dxa"/>
            <w:gridSpan w:val="7"/>
          </w:tcPr>
          <w:p>
            <w:pPr/>
            <w:r>
              <w:rPr>
                <w:lang w:val="zh-CN"/>
                <w:rFonts w:ascii="Times New Roman" w:hAnsi="Times New Roman" w:cs="Times New Roman"/>
                <w:b/>
                <w:color w:val="000000"/>
              </w:rPr>
              <w:t>那拉提—那拉提—六星街-伊宁市/博乐（420公里，约6小时车程）(大巴)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早餐后，乘车穿越中国最美十大公路之一的——独库公路中段（如没开通不走独库不增减团费），这里山峦耸峙、河谷狭长、云雾缭绕、风   景幽深，连草木的绿色也好像被隐藏起来，俗话说最美的风景总在路上，在天山的深处就有条公路 ，险得使人生畏，美到令人窒息。一路   穿越巩乃斯森林公园， 山花烂漫，蜂飞蝶舞，我们一起寻找传说中的那拉提的养蜂姑娘！午餐后 ,换乘区间车游览欧亚四大高山草场之一的 【那拉提空中大草原】（含门票 + 区间车），那拉提位于那拉提山北坡，地势大面积倾斜， 山泉密布 ，溪流纵横 ，独特的自然景观、悠久  的历史文化和浓郁的民族风情构成了独具特色的边塞风光。游客可以自费骑马驰骋在草原之上 。午后乘车前往伊宁市酒店入住休息 ，今   天行程结束 。前往伊宁市【六星街】 是中国塞外江南之城的新疆伊犁州伊宁市的一个古老街区 ，始建于上世纪30年代中期(1934-1936  年) ，根据当时新疆省政府推行的六大政策(反帝 、亲苏 、 民族平等 、和平 、建设 、清廉)理念， 由德国工程师瓦斯里规划设计 。伊宁市六 星街平面呈圆形 ，有六条主干道从中心向外辐射 ，把街区分成六个扇形地区， 中心为学校 、商铺等公共建筑 ，外围为居住区 ，形成一个 特色的居住模式 。 当地人民亲切的称为“ 小八卦城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早餐：含；午餐：含；晚餐：含；住宿：伊宁市</w:t>
            </w:r>
          </w:p>
        </w:tc>
      </w:tr>
      <w:tr>
        <w:tc>
          <w:tcPr>
            <w:tcW w:w="2310" w:type="dxa"/>
            <w:vAlign w:val="center"/>
            <w:vMerge w:val="restart"/>
          </w:tcPr>
          <w:p>
            <w:pPr/>
            <w:r>
              <w:rPr>
                <w:lang w:val="zh-CN"/>
                <w:rFonts w:ascii="Times New Roman" w:hAnsi="Times New Roman" w:cs="Times New Roman"/>
                <w:sz w:val="20"/>
                <w:szCs w:val="20"/>
                <w:color w:val="000000"/>
              </w:rPr>
              <w:t>2026/06/05</w:t>
            </w:r>
          </w:p>
        </w:tc>
        <w:tc>
          <w:tcPr>
            <w:tcW w:w="2310" w:type="dxa"/>
            <w:gridSpan w:val="7"/>
          </w:tcPr>
          <w:p>
            <w:pPr/>
            <w:r>
              <w:rPr>
                <w:lang w:val="zh-CN"/>
                <w:rFonts w:ascii="Times New Roman" w:hAnsi="Times New Roman" w:cs="Times New Roman"/>
                <w:b/>
                <w:color w:val="000000"/>
              </w:rPr>
              <w:t>伊宁市/博乐—赛里木湖—奎屯/乌鲁木齐（约400公里 ，约5小时车程）(大巴)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早餐后乘车前往参观【薰衣草庄园】 (薰衣草庄园为赠送景点,如未到花期或花期时间已过，此景点不走），这里地处天山北麓伊犁谷，与世界薰衣草原 产地法国普罗旺斯的地理位置、气候条件和土壤环境非常相似，是全世界继法国普罗旺斯、 日本富良野之后的第三大薰衣草种植基地，是中国薰衣草主   产地，有“ 中国薰衣草之乡 ”的美誉。途径果子沟是伊犁河谷的门户， 白云蓝天，雪山松树，峰回路转，风光旖旎。车游【果子沟大桥】，果子沟大桥作   为新疆第一座斜拉桥、第一高桥,是新疆最大最重要的桥梁,同时也是全国首座公路钢桁梁斜拉桥,它集新技术、新结构、新工艺、新设备 " 四新 "于一身，是我 国公路建设史上一次重大突破 。在新疆首次使用大体积混凝土温度控制技术、塔梁异步施工工艺 、液压爬膜 、 自行式移动模架等国内领先技术 ，为山  区高速公路施工积累了宝贵的经验。风光峻奇， 山花烂漫，野果飘香的果子沟全长28公里，这是我国通往中亚和欧洲的丝路北新道咽喉,被成为“铁关   ； 同时也因为它宜人的风景被誉为“伊犁第一景 ”、“奇绝仙境”。游览被号称“大西洋的最后一滴眼泪”的--【赛里木湖】（已含门票+区间车），这里  亦称三台海子，与果子沟唇齿相依，湖面海拔2073km，是新疆海拔高、面积大的高山湖，湖水浩瀚无垠、湖滨草地,绿高盈尺,湖泊四周群山环绕 ，四季白  雪皑皑，各种山花绽放遍野，一湖碧水随风变幻着迷人的色彩，赛里木湖像一颗璀璨的蓝宝石高悬于西天山之间的断陷盆地中，赛里木湖是哈萨克语，是祝愿   的意思； 因传说赛里木湖是由一对为爱殉情的年轻恋人的泪水汇集而成的，又被称为天池和乳海 。后前往奎屯/乌鲁木齐酒店入住休息，今天行程结束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2026/06/06</w:t>
            </w:r>
          </w:p>
        </w:tc>
        <w:tc>
          <w:tcPr>
            <w:tcW w:w="2310" w:type="dxa"/>
            <w:gridSpan w:val="7"/>
          </w:tcPr>
          <w:p>
            <w:pPr/>
            <w:r>
              <w:rPr>
                <w:lang w:val="zh-CN"/>
                <w:rFonts w:ascii="Times New Roman" w:hAnsi="Times New Roman" w:cs="Times New Roman"/>
                <w:b/>
                <w:color w:val="000000"/>
              </w:rPr>
              <w:t>奎屯—独山子大峡谷—乌鲁木齐（约300公里，约4小时车程）(大巴)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早餐后乘车前往【独山子大峡谷】 (含门票），拥有“独库秘境 ，亿年奇观 ”之称的独山子大峡谷位于新疆克拉玛依市独山子区境内 。独山子大峡谷海拔1070米，属峡谷地貌，谷底宽100——400米，谷肩宽800——1000米，从谷底到谷肩高达200米，是全国最美公   路之一的独库公路的起始点 ，也是独库公路第一景。这一大峡谷位于荒漠戈壁之上，两边是暗灰色的裸露山体 ，给人以一种荒凉孤寂之  感 。 自然界的大峡谷基本都是由地壳运动、地质变迁所形成的 ，但独子山大峡谷却是由来自天山雪水汇成的奎屯河水历经亿万年的不 懈冲刷，硬生生地把这处平原切割成风光神奇的大峡谷 ，不得不让人赞叹大自然的神奇。后前往乌鲁木齐酒店入住休息，今天行程结 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2026/06/07</w:t>
            </w:r>
          </w:p>
        </w:tc>
        <w:tc>
          <w:tcPr>
            <w:tcW w:w="2310" w:type="dxa"/>
            <w:gridSpan w:val="7"/>
          </w:tcPr>
          <w:p>
            <w:pPr/>
            <w:r>
              <w:rPr>
                <w:lang w:val="zh-CN"/>
                <w:rFonts w:ascii="Times New Roman" w:hAnsi="Times New Roman" w:cs="Times New Roman"/>
                <w:b/>
                <w:color w:val="000000"/>
              </w:rPr>
              <w:t>乌鲁木齐-中转地-昆明(飞机)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根据您所选择的航班时间或火车时间，我们将送您前往乌鲁木齐机场或火车站，结束愉快的西域之旅！午、晚餐敬请自理。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全程2+1空调旅游大巴车，16人以下（含16人）则安排其他车型（接送机安排其它车型）（根据人数安排座位；保证1人1正座；），独库公路中段七座商务车（不指定车型）2、住宿：全程10晚当地4星标准商务型酒店+升级2晚当地五星标准酒店，双人标间，不提供自然单间及三人间，产生单男单女，自补单房差，若标准间加床均为钢丝床，五星酒店不提供加床。3、用餐：全程用餐：12早22正（酒店含早餐，正餐为团餐，餐标40元/人/餐；团队包餐；不用不退）4、导服：当地持导游资格证中文导游服务，为确保游客能够充分了解大美新疆，我们全程安排两段优秀导游服务（A段D2→D7天1名、B段D8→D12天1名）。（如全团人数不足16人，司机负责行程中的衔接与办理相关门票事宜；行程中无导游服务，敬请谅解！）5、门票：行程中所列景点门票+区间车。如遇不可抗拒因素（疫情管控或雨雪天气导致道路封闭，不能参观景点视为自动放弃，无任何退费或补费以及置换）备注：景区门票均为协议价格，不再享受其他证件优惠（老年证、导游证、经理资格证、军官证、学生证等证件，均不可享受门票优惠或退费政策），旅行社提前预约多景点优惠套票，预约后不参观，或者不参观其中任意一项，无法退还，也不享受任何证件优惠退费，另赠送项目不用不退6、其它：已含旅行社责任险（出游有风险，强烈建议游客购买个人意外险）；7、购物：全程安排二站玉石购物店；8、南北疆大环线路程较长，为了避免司机和导游过度疲劳驾驶，可能会在吐鲁番这一天开始更换车辆和导游，以便更好地为大家服务，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禄丰肖炳珍</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石荣宇</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29</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2026/10/29 10:56:16</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