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昆明康辉陈总2</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昆明康辉陈总2</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XJ108FJ250331A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梦回伊利双飞8日</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2025-03-31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6(6大)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1、梁俊</w:t>
            </w:r>
          </w:p>
        </w:tc>
        <w:tc>
          <w:tcPr>
            <w:tcW w:w="2310" w:type="dxa"/>
            <w:vAlign w:val="center"/>
            <w:gridSpan w:val="2"/>
          </w:tcPr>
          <w:p>
            <w:pPr/>
            <w:r>
              <w:rPr>
                <w:lang w:val="zh-CN"/>
                <w:rFonts w:ascii="Times New Roman" w:hAnsi="Times New Roman" w:cs="Times New Roman"/>
                <w:sz w:val="20"/>
                <w:szCs w:val="20"/>
                <w:color w:val="000000"/>
              </w:rPr>
              <w:t>53010319600909031X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2、周俊</w:t>
            </w:r>
          </w:p>
        </w:tc>
        <w:tc>
          <w:tcPr>
            <w:tcW w:w="2310" w:type="dxa"/>
            <w:vAlign w:val="center"/>
            <w:gridSpan w:val="2"/>
          </w:tcPr>
          <w:p>
            <w:pPr/>
            <w:r>
              <w:rPr>
                <w:lang w:val="zh-CN"/>
                <w:rFonts w:ascii="Times New Roman" w:hAnsi="Times New Roman" w:cs="Times New Roman"/>
                <w:sz w:val="20"/>
                <w:szCs w:val="20"/>
                <w:color w:val="000000"/>
              </w:rPr>
              <w:t>530103196308030640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3、张宁</w:t>
            </w:r>
          </w:p>
        </w:tc>
        <w:tc>
          <w:tcPr>
            <w:tcW w:w="2310" w:type="dxa"/>
            <w:vAlign w:val="center"/>
            <w:gridSpan w:val="2"/>
          </w:tcPr>
          <w:p>
            <w:pPr/>
            <w:r>
              <w:rPr>
                <w:lang w:val="zh-CN"/>
                <w:rFonts w:ascii="Times New Roman" w:hAnsi="Times New Roman" w:cs="Times New Roman"/>
                <w:sz w:val="20"/>
                <w:szCs w:val="20"/>
                <w:color w:val="000000"/>
              </w:rPr>
              <w:t>53010219701026184X</w:t>
            </w:r>
          </w:p>
        </w:tc>
        <w:tc>
          <w:tcPr>
            <w:tcW w:w="2310" w:type="dxa"/>
            <w:vAlign w:val="center"/>
          </w:tcPr>
          <w:p>
            <w:pPr/>
            <w:r>
              <w:rPr>
                <w:lang w:val="zh-CN"/>
                <w:rFonts w:ascii="Times New Roman" w:hAnsi="Times New Roman" w:cs="Times New Roman"/>
                <w:sz w:val="20"/>
                <w:szCs w:val="20"/>
                <w:color w:val="000000"/>
              </w:rPr>
              <w:t>13888978503</w:t>
            </w:r>
          </w:p>
        </w:tc>
        <w:tc>
          <w:tcPr>
            <w:tcW w:w="2310" w:type="dxa"/>
            <w:vAlign w:val="center"/>
          </w:tcPr>
          <w:p>
            <w:pPr/>
            <w:r>
              <w:rPr>
                <w:lang w:val="zh-CN"/>
                <w:rFonts w:ascii="Times New Roman" w:hAnsi="Times New Roman" w:cs="Times New Roman"/>
                <w:sz w:val="20"/>
                <w:szCs w:val="20"/>
                <w:color w:val="000000"/>
              </w:rPr>
              <w:t>4、陈应仙</w:t>
            </w:r>
          </w:p>
        </w:tc>
        <w:tc>
          <w:tcPr>
            <w:tcW w:w="2310" w:type="dxa"/>
            <w:vAlign w:val="center"/>
            <w:gridSpan w:val="2"/>
          </w:tcPr>
          <w:p>
            <w:pPr/>
            <w:r>
              <w:rPr>
                <w:lang w:val="zh-CN"/>
                <w:rFonts w:ascii="Times New Roman" w:hAnsi="Times New Roman" w:cs="Times New Roman"/>
                <w:sz w:val="20"/>
                <w:szCs w:val="20"/>
                <w:color w:val="000000"/>
              </w:rPr>
              <w:t>530102195906012126</w:t>
            </w:r>
          </w:p>
        </w:tc>
        <w:tc>
          <w:tcPr>
            <w:tcW w:w="2310" w:type="dxa"/>
            <w:vAlign w:val="center"/>
          </w:tcPr>
          <w:p>
            <w:pPr/>
            <w:r>
              <w:rPr>
                <w:lang w:val="zh-CN"/>
                <w:rFonts w:ascii="Times New Roman" w:hAnsi="Times New Roman" w:cs="Times New Roman"/>
                <w:sz w:val="20"/>
                <w:szCs w:val="20"/>
                <w:color w:val="000000"/>
              </w:rPr>
              <w:t>13888582800</w:t>
            </w:r>
          </w:p>
        </w:tc>
      </w:tr>
      <w:tr>
        <w:tc>
          <w:tcPr>
            <w:tcW w:w="2310" w:type="dxa"/>
            <w:vAlign w:val="center"/>
          </w:tcPr>
          <w:p>
            <w:pPr/>
            <w:r>
              <w:rPr>
                <w:lang w:val="zh-CN"/>
                <w:rFonts w:ascii="Times New Roman" w:hAnsi="Times New Roman" w:cs="Times New Roman"/>
                <w:sz w:val="20"/>
                <w:szCs w:val="20"/>
                <w:color w:val="000000"/>
              </w:rPr>
              <w:t>5、蓝云</w:t>
            </w:r>
          </w:p>
        </w:tc>
        <w:tc>
          <w:tcPr>
            <w:tcW w:w="2310" w:type="dxa"/>
            <w:vAlign w:val="center"/>
            <w:gridSpan w:val="2"/>
          </w:tcPr>
          <w:p>
            <w:pPr/>
            <w:r>
              <w:rPr>
                <w:lang w:val="zh-CN"/>
                <w:rFonts w:ascii="Times New Roman" w:hAnsi="Times New Roman" w:cs="Times New Roman"/>
                <w:sz w:val="20"/>
                <w:szCs w:val="20"/>
                <w:color w:val="000000"/>
              </w:rPr>
              <w:t>532301196112120126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6、李林佶</w:t>
            </w:r>
          </w:p>
        </w:tc>
        <w:tc>
          <w:tcPr>
            <w:tcW w:w="2310" w:type="dxa"/>
            <w:vAlign w:val="center"/>
            <w:gridSpan w:val="2"/>
          </w:tcPr>
          <w:p>
            <w:pPr/>
            <w:r>
              <w:rPr>
                <w:lang w:val="zh-CN"/>
                <w:rFonts w:ascii="Times New Roman" w:hAnsi="Times New Roman" w:cs="Times New Roman"/>
                <w:sz w:val="20"/>
                <w:szCs w:val="20"/>
                <w:color w:val="000000"/>
              </w:rPr>
              <w:t>532324196304081517</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6</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13680.00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总金额：壹万叁仟陆佰捌拾元整</w:t>
            </w:r>
          </w:p>
        </w:tc>
        <w:tc>
          <w:tcPr>
            <w:tcW w:w="2310" w:type="dxa"/>
            <w:textDirection w:val="right"/>
            <w:gridSpan w:val="3"/>
          </w:tcPr>
          <w:p>
            <w:pPr/>
            <w:r>
              <w:rPr>
                <w:lang w:val="zh-CN"/>
                <w:rFonts w:ascii="Times New Roman" w:hAnsi="Times New Roman" w:cs="Times New Roman"/>
                <w:b/>
                <w:color w:val="FF0000"/>
              </w:rPr>
              <w:t>13680.00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何先秋</w:t>
            </w:r>
          </w:p>
        </w:tc>
        <w:tc>
          <w:tcPr>
            <w:tcW w:w="2310" w:type="dxa"/>
            <w:gridSpan w:val="3"/>
          </w:tcPr>
          <w:p>
            <w:pPr/>
            <w:r>
              <w:rPr>
                <w:lang w:val="zh-CN"/>
                <w:rFonts w:ascii="Times New Roman" w:hAnsi="Times New Roman" w:cs="Times New Roman"/>
                <w:sz w:val="20"/>
                <w:szCs w:val="20"/>
                <w:color w:val="000000"/>
              </w:rPr>
              <w:t>001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002</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云南途川国际旅行社有限公司</w:t>
            </w:r>
          </w:p>
        </w:tc>
        <w:tc>
          <w:tcPr>
            <w:tcW w:w="2310" w:type="dxa"/>
            <w:gridSpan w:val="3"/>
          </w:tcPr>
          <w:p>
            <w:pPr/>
            <w:r>
              <w:rPr>
                <w:lang w:val="zh-CN"/>
                <w:rFonts w:ascii="Times New Roman" w:hAnsi="Times New Roman" w:cs="Times New Roman"/>
                <w:sz w:val="20"/>
                <w:szCs w:val="20"/>
                <w:color w:val="000000"/>
              </w:rPr>
              <w:t>471190100100041206</w:t>
            </w:r>
          </w:p>
        </w:tc>
      </w:tr>
      <w:tr>
        <w:tc>
          <w:tcPr>
            <w:tcW w:w="2310" w:type="dxa"/>
            <w:gridSpan w:val="3"/>
          </w:tcPr>
          <w:p>
            <w:pPr/>
            <w:r>
              <w:rPr>
                <w:lang w:val="zh-CN"/>
                <w:rFonts w:ascii="Times New Roman" w:hAnsi="Times New Roman" w:cs="Times New Roman"/>
                <w:sz w:val="20"/>
                <w:szCs w:val="20"/>
                <w:color w:val="000000"/>
              </w:rPr>
              <w:t>风情1117</w:t>
            </w:r>
          </w:p>
        </w:tc>
        <w:tc>
          <w:tcPr>
            <w:tcW w:w="2310" w:type="dxa"/>
            <w:gridSpan w:val="2"/>
          </w:tcPr>
          <w:p>
            <w:pPr/>
            <w:r>
              <w:rPr>
                <w:lang w:val="zh-CN"/>
                <w:rFonts w:ascii="Times New Roman" w:hAnsi="Times New Roman" w:cs="Times New Roman"/>
                <w:sz w:val="20"/>
                <w:szCs w:val="20"/>
                <w:color w:val="000000"/>
              </w:rPr>
              <w:t>风情1117</w:t>
            </w:r>
          </w:p>
        </w:tc>
        <w:tc>
          <w:tcPr>
            <w:tcW w:w="2310" w:type="dxa"/>
            <w:gridSpan w:val="3"/>
          </w:tcPr>
          <w:p>
            <w:pPr/>
            <w:r>
              <w:rPr>
                <w:lang w:val="zh-CN"/>
                <w:rFonts w:ascii="Times New Roman" w:hAnsi="Times New Roman" w:cs="Times New Roman"/>
                <w:sz w:val="20"/>
                <w:szCs w:val="20"/>
                <w:color w:val="000000"/>
              </w:rPr>
              <w:t>1117</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缪清</w:t>
            </w:r>
          </w:p>
        </w:tc>
        <w:tc>
          <w:tcPr>
            <w:tcW w:w="2310" w:type="dxa"/>
            <w:gridSpan w:val="3"/>
          </w:tcPr>
          <w:p>
            <w:pPr/>
            <w:r>
              <w:rPr>
                <w:lang w:val="zh-CN"/>
                <w:rFonts w:ascii="Times New Roman" w:hAnsi="Times New Roman" w:cs="Times New Roman"/>
                <w:sz w:val="20"/>
                <w:szCs w:val="20"/>
                <w:color w:val="000000"/>
              </w:rPr>
              <w:t>01</w:t>
            </w:r>
          </w:p>
        </w:tc>
      </w:tr>
      <w:tr>
        <w:tc>
          <w:tcPr>
            <w:tcW w:w="2310" w:type="dxa"/>
            <w:gridSpan w:val="3"/>
          </w:tcPr>
          <w:p>
            <w:pPr/>
            <w:r>
              <w:rPr>
                <w:lang w:val="zh-CN"/>
                <w:rFonts w:ascii="Times New Roman" w:hAnsi="Times New Roman" w:cs="Times New Roman"/>
                <w:sz w:val="20"/>
                <w:szCs w:val="20"/>
                <w:color w:val="000000"/>
              </w:rPr>
              <w:t>徐沁云微信</w:t>
            </w:r>
          </w:p>
        </w:tc>
        <w:tc>
          <w:tcPr>
            <w:tcW w:w="2310" w:type="dxa"/>
            <w:gridSpan w:val="2"/>
          </w:tcPr>
          <w:p>
            <w:pPr/>
            <w:r>
              <w:rPr>
                <w:lang w:val="zh-CN"/>
                <w:rFonts w:ascii="Times New Roman" w:hAnsi="Times New Roman" w:cs="Times New Roman"/>
                <w:sz w:val="20"/>
                <w:szCs w:val="20"/>
                <w:color w:val="000000"/>
              </w:rPr>
              <w:t>徐沁云</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刘治微信</w:t>
            </w:r>
          </w:p>
        </w:tc>
        <w:tc>
          <w:tcPr>
            <w:tcW w:w="2310" w:type="dxa"/>
            <w:gridSpan w:val="2"/>
          </w:tcPr>
          <w:p>
            <w:pPr/>
            <w:r>
              <w:rPr>
                <w:lang w:val="zh-CN"/>
                <w:rFonts w:ascii="Times New Roman" w:hAnsi="Times New Roman" w:cs="Times New Roman"/>
                <w:sz w:val="20"/>
                <w:szCs w:val="20"/>
                <w:color w:val="000000"/>
              </w:rPr>
              <w:t>刘治</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2025/03/31</w:t>
            </w:r>
          </w:p>
        </w:tc>
        <w:tc>
          <w:tcPr>
            <w:tcW w:w="2310" w:type="dxa"/>
            <w:gridSpan w:val="7"/>
          </w:tcPr>
          <w:p>
            <w:pPr/>
            <w:r>
              <w:rPr>
                <w:lang w:val="zh-CN"/>
                <w:rFonts w:ascii="Times New Roman" w:hAnsi="Times New Roman" w:cs="Times New Roman"/>
                <w:b/>
                <w:color w:val="000000"/>
              </w:rPr>
              <w:t>昆明—吐鲁番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昆明乘航班飞吐鲁番，后乘车前往举世闻名的“歌舞之乡、瓜果之乡、金玉之邦”—新疆自治区首府【乌鲁木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齐】（准葛尔蒙古语为“优美的牧场”），抵达后前往酒店办理入住。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2025/04/01</w:t>
            </w:r>
          </w:p>
        </w:tc>
        <w:tc>
          <w:tcPr>
            <w:tcW w:w="2310" w:type="dxa"/>
            <w:gridSpan w:val="7"/>
          </w:tcPr>
          <w:p>
            <w:pPr/>
            <w:r>
              <w:rPr>
                <w:lang w:val="zh-CN"/>
                <w:rFonts w:ascii="Times New Roman" w:hAnsi="Times New Roman" w:cs="Times New Roman"/>
                <w:b/>
                <w:color w:val="000000"/>
              </w:rPr>
              <w:t>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早餐后乘车前往博乐/双河，参观独山子大峡谷，抵达后入住酒店。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2025/04/02</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早餐后从后游览神秘美丽的【赛里木湖】，后前往游览【吐尔根乡杏花沟】或【中华福寿山大西沟杏花谷】3月底—4月中旬，游览【吐尔根杏花沟】游览【大西沟中华福寿山景区】，后乘车入住那拉提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2025/04/03</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早餐后前往“太阳升起的地方”—世界四大河谷草原——【那拉提大草原】，后入住博乐/双河酒店。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2025/04/04</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治区博物馆】新疆维吾尔自治区博物馆是首批国家一级博物馆、省级综合性地志博物馆，是新疆维吾尔自治区的文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2025/04/05</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将相，下至黎民百姓都热烈追捧，几千年来人们，崇玉、爱玉、赏玉、玩玉、藏玉，人们对玉怀着一种特殊的情感，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论放在哪里，都会散发出巨大的魅力。后乘车至【驼绒文化馆】了解当地的特产特色，后赴亚欧大陆腹地干旱区自然景观的代表景区【天山天池风景区】，天山天池古称“瑶池”，是以高山湖泊为主的自然风景区，是我国西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北干旱地区典型的山岳型自然景观。天山天池湖面海拔1910米，南北长3.5公里，东西宽0.8～1.5公里，深103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米，湖滨云杉环绕，雪峰倒映，云杉环拥，碧水似镜，风光如画，游览天山天池会让大家感受到没有感受过的震憾，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也能感悟到志存高远而内涵丰富的人生哲理。后入住酒店休息。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2025/04/06</w:t>
            </w:r>
          </w:p>
        </w:tc>
        <w:tc>
          <w:tcPr>
            <w:tcW w:w="2310" w:type="dxa"/>
            <w:gridSpan w:val="7"/>
          </w:tcPr>
          <w:p>
            <w:pPr/>
            <w:r>
              <w:rPr>
                <w:lang w:val="zh-CN"/>
                <w:rFonts w:ascii="Times New Roman" w:hAnsi="Times New Roman" w:cs="Times New Roman"/>
                <w:b/>
                <w:color w:val="000000"/>
              </w:rPr>
              <w:t>乌鲁木齐--吐鲁番-乌鲁木齐/昌吉/米泉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王将相，下至黎民百姓都热烈追捧，几千年来人们，崇玉、爱玉、赏玉、玩玉、藏玉，人们对玉怀着一种特殊的情感，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无论放在哪里，都会散发出巨大的魅力。后乘车前往赴素有“火洲”之称的吐鲁番，游览吐鲁番的象征、素有“八百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里火焰”之称的【火焰山】地处“丝绸之路”北道上。相传《西游记》中唐僧取经受阻于火焰山，孙悟空三借芭蕉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扇的故事就发生在这里；使火焰山披上一层神秘的面纱，成了一座天下奇山，成了人们向往的游览胜地。它也是我国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各族人民智慧的结晶、勤劳的丰碑！后前往鄯善欣赏古楼兰消失的最后一片圣地——【库木塔格沙漠】，一大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片一大片鱼鳞状的沙丘，在阳光的照耀下泛着金光。后进入【农家小院】中，品尝时令水果，欣赏特色歌舞。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结束行程后办理入住酒店。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2025/04/07</w:t>
            </w:r>
          </w:p>
        </w:tc>
        <w:tc>
          <w:tcPr>
            <w:tcW w:w="2310" w:type="dxa"/>
            <w:gridSpan w:val="7"/>
          </w:tcPr>
          <w:p>
            <w:pPr/>
            <w:r>
              <w:rPr>
                <w:lang w:val="zh-CN"/>
                <w:rFonts w:ascii="Times New Roman" w:hAnsi="Times New Roman" w:cs="Times New Roman"/>
                <w:b/>
                <w:color w:val="000000"/>
              </w:rPr>
              <w:t>吐鲁番--昆明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早餐后游览极度干旱地区的生命血脉、中国古代三大文明工程的【坎儿井】（游览约30分钟）、人们无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不为它设计构思的巧妙，工程的艰巨而赞叹。后根据航班时间前往吐鲁番机场后乘机返回昆明，抵达昆明后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 自理       ；晚餐：     自理  ；住宿：温馨的家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速严重，行程中的住宿根据实际情况进行调整，不降低接待标准。2、用餐费用：全程7早10正（含特色餐），正餐餐标30元/人/正，十人一桌，八菜一汤，不含酒水；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人数增减时菜量相应增减；房费中所含早餐，若客人不用，费用不退；此团价格为打包优惠价所有正餐不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吃不退。3、用车费用：当地空调旅游车，车型根据此团游客人数而定，保证每人每正座，若客人自行放弃当日行程，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车费不予退还。4、导游费用：当地普通话优秀导游服务。10人及以下不提供导游，司机兼向导，不做专业讲解，可办理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相关事宜。5、景点费用：实际游览景点（含景点首道大门票）：吐鲁番（郡王府坎儿井、火焰山）、天山天池（含门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票+区间车），伊宁（赛里木湖门票+区间车），杏花沟、那拉提；提示：不含景区内其它自费项目及自费景点门票。报价已为旅行社团队的折扣价，故行程中已包含的景点门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票对所有证件（学生证、教师证、老年证、残疾证等证件）均不享受任何优惠政策，其优惠价格不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予退还（赠送/新增景点自愿放弃费用不退。军人除外,按照旅行社协议价退）；6、费用说明：我社保留因不可抗拒因素（如天气、路况、航班原因等）对行程调整的权利，但行程内游览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景点不减少，如因此不可抗拒因素造成客人滞留，或其他费用的增加，由客人自理、游客在旅游期间自动离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团及不游景点，不用餐，旅行社不退任何费用7、儿童费用：1.2米以下儿童只含导服、车位、餐费，产生门票、房费自理。备注：此团价格为打包优惠后的价格，任何门票优惠证件，所有费用不用不退，敬请谅解；</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3、1.2米以下儿童只含车、半餐、导服，其他费用由客人自理。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4、如遇天气、自然灾害、政府政策性调价等不可抗拒的因素导致行程延误及变更费用我社不负担责任。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5、我们的接待品质是以游客合理签字反馈意见为据,为维护游客和旅行社利益,请客人认真填写,行程结束后如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有客人投诉与所签意见单不符，我社以所签意见单为准！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(1)新疆属大西北地区，因新疆当地条件有限，住宿酒店不能与内地条件相比较，特别山区，以标间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为主，新疆旅游旺季期间，如遇行程中酒店房满，将安排不低于以上同等级酒店，望周知。(2)由于新疆安检及酒店设施问题，不能安排三人间或加床，成人不允许不占床，单人报名请补单房差；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受经济发展等客观因素影响，当地酒店与内地有所差距，敬请谅解！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昆明康辉陈总2</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2025/3/24 15:18:23</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