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罗冠军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梦回伊利双卧11天(刘治/罗冠军）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24(24大)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45540.00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总金额：肆万柒仟伍佰贰拾元整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47520.00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罗冠军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2026/3/28 9:14:56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