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呈贡走啦刘磊</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呈贡走啦刘磊</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XJ208CZ260421B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疆夏伊犁双飞8天（散拼）（往返直飞）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2026-04-21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13(13大)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1、余琼英</w:t>
            </w:r>
          </w:p>
        </w:tc>
        <w:tc>
          <w:tcPr>
            <w:tcW w:w="2310" w:type="dxa"/>
            <w:vAlign w:val="center"/>
            <w:gridSpan w:val="2"/>
          </w:tcPr>
          <w:p>
            <w:pPr/>
            <w:r>
              <w:rPr>
                <w:lang w:val="zh-CN"/>
                <w:rFonts w:ascii="Times New Roman" w:hAnsi="Times New Roman" w:cs="Times New Roman"/>
                <w:sz w:val="20"/>
                <w:szCs w:val="20"/>
                <w:color w:val="000000"/>
              </w:rPr>
              <w:t>530121195203130045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2、杨正祥</w:t>
            </w:r>
          </w:p>
        </w:tc>
        <w:tc>
          <w:tcPr>
            <w:tcW w:w="2310" w:type="dxa"/>
            <w:vAlign w:val="center"/>
            <w:gridSpan w:val="2"/>
          </w:tcPr>
          <w:p>
            <w:pPr/>
            <w:r>
              <w:rPr>
                <w:lang w:val="zh-CN"/>
                <w:rFonts w:ascii="Times New Roman" w:hAnsi="Times New Roman" w:cs="Times New Roman"/>
                <w:sz w:val="20"/>
                <w:szCs w:val="20"/>
                <w:color w:val="000000"/>
              </w:rPr>
              <w:t>530121195304170011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3、杨利华</w:t>
            </w:r>
          </w:p>
        </w:tc>
        <w:tc>
          <w:tcPr>
            <w:tcW w:w="2310" w:type="dxa"/>
            <w:vAlign w:val="center"/>
            <w:gridSpan w:val="2"/>
          </w:tcPr>
          <w:p>
            <w:pPr/>
            <w:r>
              <w:rPr>
                <w:lang w:val="zh-CN"/>
                <w:rFonts w:ascii="Times New Roman" w:hAnsi="Times New Roman" w:cs="Times New Roman"/>
                <w:sz w:val="20"/>
                <w:szCs w:val="20"/>
                <w:color w:val="000000"/>
              </w:rPr>
              <w:t>530121195505210630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4、李保红</w:t>
            </w:r>
          </w:p>
        </w:tc>
        <w:tc>
          <w:tcPr>
            <w:tcW w:w="2310" w:type="dxa"/>
            <w:vAlign w:val="center"/>
            <w:gridSpan w:val="2"/>
          </w:tcPr>
          <w:p>
            <w:pPr/>
            <w:r>
              <w:rPr>
                <w:lang w:val="zh-CN"/>
                <w:rFonts w:ascii="Times New Roman" w:hAnsi="Times New Roman" w:cs="Times New Roman"/>
                <w:sz w:val="20"/>
                <w:szCs w:val="20"/>
                <w:color w:val="000000"/>
              </w:rPr>
              <w:t>530121196305150631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5、何翠珍</w:t>
            </w:r>
          </w:p>
        </w:tc>
        <w:tc>
          <w:tcPr>
            <w:tcW w:w="2310" w:type="dxa"/>
            <w:vAlign w:val="center"/>
            <w:gridSpan w:val="2"/>
          </w:tcPr>
          <w:p>
            <w:pPr/>
            <w:r>
              <w:rPr>
                <w:lang w:val="zh-CN"/>
                <w:rFonts w:ascii="Times New Roman" w:hAnsi="Times New Roman" w:cs="Times New Roman"/>
                <w:sz w:val="20"/>
                <w:szCs w:val="20"/>
                <w:color w:val="000000"/>
              </w:rPr>
              <w:t>530121195410110020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6、何翠英</w:t>
            </w:r>
          </w:p>
        </w:tc>
        <w:tc>
          <w:tcPr>
            <w:tcW w:w="2310" w:type="dxa"/>
            <w:vAlign w:val="center"/>
            <w:gridSpan w:val="2"/>
          </w:tcPr>
          <w:p>
            <w:pPr/>
            <w:r>
              <w:rPr>
                <w:lang w:val="zh-CN"/>
                <w:rFonts w:ascii="Times New Roman" w:hAnsi="Times New Roman" w:cs="Times New Roman"/>
                <w:sz w:val="20"/>
                <w:szCs w:val="20"/>
                <w:color w:val="000000"/>
              </w:rPr>
              <w:t>530121196305100941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7、胥万洲</w:t>
            </w:r>
          </w:p>
        </w:tc>
        <w:tc>
          <w:tcPr>
            <w:tcW w:w="2310" w:type="dxa"/>
            <w:vAlign w:val="center"/>
            <w:gridSpan w:val="2"/>
          </w:tcPr>
          <w:p>
            <w:pPr/>
            <w:r>
              <w:rPr>
                <w:lang w:val="zh-CN"/>
                <w:rFonts w:ascii="Times New Roman" w:hAnsi="Times New Roman" w:cs="Times New Roman"/>
                <w:sz w:val="20"/>
                <w:szCs w:val="20"/>
                <w:color w:val="000000"/>
              </w:rPr>
              <w:t>530121196204150958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8、李玉兰</w:t>
            </w:r>
          </w:p>
        </w:tc>
        <w:tc>
          <w:tcPr>
            <w:tcW w:w="2310" w:type="dxa"/>
            <w:vAlign w:val="center"/>
            <w:gridSpan w:val="2"/>
          </w:tcPr>
          <w:p>
            <w:pPr/>
            <w:r>
              <w:rPr>
                <w:lang w:val="zh-CN"/>
                <w:rFonts w:ascii="Times New Roman" w:hAnsi="Times New Roman" w:cs="Times New Roman"/>
                <w:sz w:val="20"/>
                <w:szCs w:val="20"/>
                <w:color w:val="000000"/>
              </w:rPr>
              <w:t>530121196207070363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9、金艳华</w:t>
            </w:r>
          </w:p>
        </w:tc>
        <w:tc>
          <w:tcPr>
            <w:tcW w:w="2310" w:type="dxa"/>
            <w:vAlign w:val="center"/>
            <w:gridSpan w:val="2"/>
          </w:tcPr>
          <w:p>
            <w:pPr/>
            <w:r>
              <w:rPr>
                <w:lang w:val="zh-CN"/>
                <w:rFonts w:ascii="Times New Roman" w:hAnsi="Times New Roman" w:cs="Times New Roman"/>
                <w:sz w:val="20"/>
                <w:szCs w:val="20"/>
                <w:color w:val="000000"/>
              </w:rPr>
              <w:t>530121197708240329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10、杨明丽</w:t>
            </w:r>
          </w:p>
        </w:tc>
        <w:tc>
          <w:tcPr>
            <w:tcW w:w="2310" w:type="dxa"/>
            <w:vAlign w:val="center"/>
            <w:gridSpan w:val="2"/>
          </w:tcPr>
          <w:p>
            <w:pPr/>
            <w:r>
              <w:rPr>
                <w:lang w:val="zh-CN"/>
                <w:rFonts w:ascii="Times New Roman" w:hAnsi="Times New Roman" w:cs="Times New Roman"/>
                <w:sz w:val="20"/>
                <w:szCs w:val="20"/>
                <w:color w:val="000000"/>
              </w:rPr>
              <w:t>530121197309150342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11、杨明艳</w:t>
            </w:r>
          </w:p>
        </w:tc>
        <w:tc>
          <w:tcPr>
            <w:tcW w:w="2310" w:type="dxa"/>
            <w:vAlign w:val="center"/>
            <w:gridSpan w:val="2"/>
          </w:tcPr>
          <w:p>
            <w:pPr/>
            <w:r>
              <w:rPr>
                <w:lang w:val="zh-CN"/>
                <w:rFonts w:ascii="Times New Roman" w:hAnsi="Times New Roman" w:cs="Times New Roman"/>
                <w:sz w:val="20"/>
                <w:szCs w:val="20"/>
                <w:color w:val="000000"/>
              </w:rPr>
              <w:t>530121197004150341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12、梁美英</w:t>
            </w:r>
          </w:p>
        </w:tc>
        <w:tc>
          <w:tcPr>
            <w:tcW w:w="2310" w:type="dxa"/>
            <w:vAlign w:val="center"/>
            <w:gridSpan w:val="2"/>
          </w:tcPr>
          <w:p>
            <w:pPr/>
            <w:r>
              <w:rPr>
                <w:lang w:val="zh-CN"/>
                <w:rFonts w:ascii="Times New Roman" w:hAnsi="Times New Roman" w:cs="Times New Roman"/>
                <w:sz w:val="20"/>
                <w:szCs w:val="20"/>
                <w:color w:val="000000"/>
              </w:rPr>
              <w:t>530121195305200622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13、乔琼仙</w:t>
            </w:r>
          </w:p>
        </w:tc>
        <w:tc>
          <w:tcPr>
            <w:tcW w:w="2310" w:type="dxa"/>
            <w:vAlign w:val="center"/>
            <w:gridSpan w:val="2"/>
          </w:tcPr>
          <w:p>
            <w:pPr/>
            <w:r>
              <w:rPr>
                <w:lang w:val="zh-CN"/>
                <w:rFonts w:ascii="Times New Roman" w:hAnsi="Times New Roman" w:cs="Times New Roman"/>
                <w:sz w:val="20"/>
                <w:szCs w:val="20"/>
                <w:color w:val="000000"/>
              </w:rPr>
              <w:t>530121195603150627</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13</w:t>
            </w:r>
          </w:p>
        </w:tc>
        <w:tc>
          <w:tcPr>
            <w:tcW w:w="2310" w:type="dxa"/>
          </w:tcPr>
          <w:p>
            <w:pPr/>
            <w:r>
              <w:rPr>
                <w:lang w:val="zh-CN"/>
                <w:rFonts w:ascii="Times New Roman" w:hAnsi="Times New Roman" w:cs="Times New Roman"/>
                <w:sz w:val="20"/>
                <w:szCs w:val="20"/>
                <w:color w:val="000000"/>
              </w:rPr>
              <w:t>2780.00</w:t>
            </w:r>
          </w:p>
        </w:tc>
        <w:tc>
          <w:tcPr>
            <w:tcW w:w="2310" w:type="dxa"/>
          </w:tcPr>
          <w:p>
            <w:pPr/>
            <w:r>
              <w:rPr>
                <w:lang w:val="zh-CN"/>
                <w:rFonts w:ascii="Times New Roman" w:hAnsi="Times New Roman" w:cs="Times New Roman"/>
                <w:sz w:val="20"/>
                <w:szCs w:val="20"/>
                <w:color w:val="000000"/>
              </w:rPr>
              <w:t>36140.00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总金额：叁万陆仟壹佰肆拾元整</w:t>
            </w:r>
          </w:p>
        </w:tc>
        <w:tc>
          <w:tcPr>
            <w:tcW w:w="2310" w:type="dxa"/>
            <w:textDirection w:val="right"/>
            <w:gridSpan w:val="3"/>
          </w:tcPr>
          <w:p>
            <w:pPr/>
            <w:r>
              <w:rPr>
                <w:lang w:val="zh-CN"/>
                <w:rFonts w:ascii="Times New Roman" w:hAnsi="Times New Roman" w:cs="Times New Roman"/>
                <w:b/>
                <w:color w:val="FF0000"/>
              </w:rPr>
              <w:t>36140.00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乌鲁木齐/昌吉/米泉—木特塔尔沙漠—博乐/双河(大巴)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2026/04/23</w:t>
            </w:r>
          </w:p>
        </w:tc>
        <w:tc>
          <w:tcPr>
            <w:tcW w:w="2310" w:type="dxa"/>
            <w:gridSpan w:val="7"/>
          </w:tcPr>
          <w:p>
            <w:pPr/>
            <w:r>
              <w:rPr>
                <w:lang w:val="zh-CN"/>
                <w:rFonts w:ascii="Times New Roman" w:hAnsi="Times New Roman" w:cs="Times New Roman"/>
                <w:b/>
                <w:color w:val="000000"/>
              </w:rPr>
              <w:t>博乐/双河—赛里木湖-吐尔根杏花/福寿山杏花-那拉提/新源(大巴)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！后前往游览【吐尔根乡杏花沟】 或【中华福寿山大西沟杏花谷】 3月底—4 月中旬，游览 【吐尔根杏花沟】 （ 因花期问题，不去不退费用 ）， ；4月中旬—4月底，游览【大西沟中华福寿山景区】（ 一般吐尔根杏花花期过了之后，我们会去这 里拍摄 。 因花期问题 ，不去不退费用 ）亚 洲 独 有 的 珍 稀 野 生 林 果 樱 桃 李 就 在 此 处 。 大 西 沟 是 新 疆 惟 一 的 野 酸 梅 林 分 布 区 ，4 中 -5 月 初 正 值 杏 花 和 野 酸梅 开 花 的季节   ，到处都是盛开的桃花  ，有粉红的 、深红的 、浅紫的  ，在绿叶的衬托下  ，显得更加娇美  ，是摄影爱好者的天堂, 赏花之余，谈古论今，领略陶渊明笔下 “世外桃源 ” 的独特情趣  ，别有一番风味 。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2026/04/24</w:t>
            </w:r>
          </w:p>
        </w:tc>
        <w:tc>
          <w:tcPr>
            <w:tcW w:w="2310" w:type="dxa"/>
            <w:gridSpan w:val="7"/>
          </w:tcPr>
          <w:p>
            <w:pPr/>
            <w:r>
              <w:rPr>
                <w:lang w:val="zh-CN"/>
                <w:rFonts w:ascii="Times New Roman" w:hAnsi="Times New Roman" w:cs="Times New Roman"/>
                <w:b/>
                <w:color w:val="000000"/>
              </w:rPr>
              <w:t>那拉提——和静/库尔勒(大巴)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2026/04/25</w:t>
            </w:r>
          </w:p>
        </w:tc>
        <w:tc>
          <w:tcPr>
            <w:tcW w:w="2310" w:type="dxa"/>
            <w:gridSpan w:val="7"/>
          </w:tcPr>
          <w:p>
            <w:pPr/>
            <w:r>
              <w:rPr>
                <w:lang w:val="zh-CN"/>
                <w:rFonts w:ascii="Times New Roman" w:hAnsi="Times New Roman" w:cs="Times New Roman"/>
                <w:b/>
                <w:color w:val="000000"/>
              </w:rPr>
              <w:t>和静/库尔勒—乌鲁木齐/昌吉/米泉(大巴)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2026/04/26</w:t>
            </w:r>
          </w:p>
        </w:tc>
        <w:tc>
          <w:tcPr>
            <w:tcW w:w="2310" w:type="dxa"/>
            <w:gridSpan w:val="7"/>
          </w:tcPr>
          <w:p>
            <w:pPr/>
            <w:r>
              <w:rPr>
                <w:lang w:val="zh-CN"/>
                <w:rFonts w:ascii="Times New Roman" w:hAnsi="Times New Roman" w:cs="Times New Roman"/>
                <w:b/>
                <w:color w:val="000000"/>
              </w:rPr>
              <w:t>乌鲁木齐/昌吉—天山天池--乌鲁木齐(大巴)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2026/04/27</w:t>
            </w:r>
          </w:p>
        </w:tc>
        <w:tc>
          <w:tcPr>
            <w:tcW w:w="2310" w:type="dxa"/>
            <w:gridSpan w:val="7"/>
          </w:tcPr>
          <w:p>
            <w:pPr/>
            <w:r>
              <w:rPr>
                <w:lang w:val="zh-CN"/>
                <w:rFonts w:ascii="Times New Roman" w:hAnsi="Times New Roman" w:cs="Times New Roman"/>
                <w:b/>
                <w:color w:val="000000"/>
              </w:rPr>
              <w:t>乌鲁木齐--吐鲁番-乌鲁木齐/昌吉/米泉(大巴)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2026/04/28</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40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杏花沟、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呈贡走啦刘磊</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2026/4/18 9:38:29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