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山西鑫泽国际旅行社有限公司云南昆明分公司团队/散客确认书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万达旅业吴春梅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吴春梅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13888888888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刘治</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13308806731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XJT11FJ250410A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新疆双卧11日/新疆双飞8日（2月28日刘治做会）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2025-04-10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26(26大)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1、普多</w:t>
            </w:r>
          </w:p>
        </w:tc>
        <w:tc>
          <w:tcPr>
            <w:tcW w:w="2310" w:type="dxa"/>
            <w:vAlign w:val="center"/>
            <w:gridSpan w:val="2"/>
          </w:tcPr>
          <w:p>
            <w:pPr/>
            <w:r>
              <w:rPr>
                <w:lang w:val="zh-CN"/>
                <w:rFonts w:ascii="Times New Roman" w:hAnsi="Times New Roman" w:cs="Times New Roman"/>
                <w:sz w:val="20"/>
                <w:szCs w:val="20"/>
                <w:color w:val="000000"/>
              </w:rPr>
              <w:t>530103196408071829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2、周康荣</w:t>
            </w:r>
          </w:p>
        </w:tc>
        <w:tc>
          <w:tcPr>
            <w:tcW w:w="2310" w:type="dxa"/>
            <w:vAlign w:val="center"/>
            <w:gridSpan w:val="2"/>
          </w:tcPr>
          <w:p>
            <w:pPr/>
            <w:r>
              <w:rPr>
                <w:lang w:val="zh-CN"/>
                <w:rFonts w:ascii="Times New Roman" w:hAnsi="Times New Roman" w:cs="Times New Roman"/>
                <w:sz w:val="20"/>
                <w:szCs w:val="20"/>
                <w:color w:val="000000"/>
              </w:rPr>
              <w:t>530102196206080069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3、唐玲</w:t>
            </w:r>
          </w:p>
        </w:tc>
        <w:tc>
          <w:tcPr>
            <w:tcW w:w="2310" w:type="dxa"/>
            <w:vAlign w:val="center"/>
            <w:gridSpan w:val="2"/>
          </w:tcPr>
          <w:p>
            <w:pPr/>
            <w:r>
              <w:rPr>
                <w:lang w:val="zh-CN"/>
                <w:rFonts w:ascii="Times New Roman" w:hAnsi="Times New Roman" w:cs="Times New Roman"/>
                <w:sz w:val="20"/>
                <w:szCs w:val="20"/>
                <w:color w:val="000000"/>
              </w:rPr>
              <w:t>530102196412191528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4、唐萍</w:t>
            </w:r>
          </w:p>
        </w:tc>
        <w:tc>
          <w:tcPr>
            <w:tcW w:w="2310" w:type="dxa"/>
            <w:vAlign w:val="center"/>
            <w:gridSpan w:val="2"/>
          </w:tcPr>
          <w:p>
            <w:pPr/>
            <w:r>
              <w:rPr>
                <w:lang w:val="zh-CN"/>
                <w:rFonts w:ascii="Times New Roman" w:hAnsi="Times New Roman" w:cs="Times New Roman"/>
                <w:sz w:val="20"/>
                <w:szCs w:val="20"/>
                <w:color w:val="000000"/>
              </w:rPr>
              <w:t>530102195802082429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5、王卫昆</w:t>
            </w:r>
          </w:p>
        </w:tc>
        <w:tc>
          <w:tcPr>
            <w:tcW w:w="2310" w:type="dxa"/>
            <w:vAlign w:val="center"/>
            <w:gridSpan w:val="2"/>
          </w:tcPr>
          <w:p>
            <w:pPr/>
            <w:r>
              <w:rPr>
                <w:lang w:val="zh-CN"/>
                <w:rFonts w:ascii="Times New Roman" w:hAnsi="Times New Roman" w:cs="Times New Roman"/>
                <w:sz w:val="20"/>
                <w:szCs w:val="20"/>
                <w:color w:val="000000"/>
              </w:rPr>
              <w:t>530102196605111651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6、罗桂仙</w:t>
            </w:r>
          </w:p>
        </w:tc>
        <w:tc>
          <w:tcPr>
            <w:tcW w:w="2310" w:type="dxa"/>
            <w:vAlign w:val="center"/>
            <w:gridSpan w:val="2"/>
          </w:tcPr>
          <w:p>
            <w:pPr/>
            <w:r>
              <w:rPr>
                <w:lang w:val="zh-CN"/>
                <w:rFonts w:ascii="Times New Roman" w:hAnsi="Times New Roman" w:cs="Times New Roman"/>
                <w:sz w:val="20"/>
                <w:szCs w:val="20"/>
                <w:color w:val="000000"/>
              </w:rPr>
              <w:t>530111196808051720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7、何俊华</w:t>
            </w:r>
          </w:p>
        </w:tc>
        <w:tc>
          <w:tcPr>
            <w:tcW w:w="2310" w:type="dxa"/>
            <w:vAlign w:val="center"/>
            <w:gridSpan w:val="2"/>
          </w:tcPr>
          <w:p>
            <w:pPr/>
            <w:r>
              <w:rPr>
                <w:lang w:val="zh-CN"/>
                <w:rFonts w:ascii="Times New Roman" w:hAnsi="Times New Roman" w:cs="Times New Roman"/>
                <w:sz w:val="20"/>
                <w:szCs w:val="20"/>
                <w:color w:val="000000"/>
              </w:rPr>
              <w:t>53010219591017032X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8、邓桂珍</w:t>
            </w:r>
          </w:p>
        </w:tc>
        <w:tc>
          <w:tcPr>
            <w:tcW w:w="2310" w:type="dxa"/>
            <w:vAlign w:val="center"/>
            <w:gridSpan w:val="2"/>
          </w:tcPr>
          <w:p>
            <w:pPr/>
            <w:r>
              <w:rPr>
                <w:lang w:val="zh-CN"/>
                <w:rFonts w:ascii="Times New Roman" w:hAnsi="Times New Roman" w:cs="Times New Roman"/>
                <w:sz w:val="20"/>
                <w:szCs w:val="20"/>
                <w:color w:val="000000"/>
              </w:rPr>
              <w:t>530102196212180621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9、周康丽</w:t>
            </w:r>
          </w:p>
        </w:tc>
        <w:tc>
          <w:tcPr>
            <w:tcW w:w="2310" w:type="dxa"/>
            <w:vAlign w:val="center"/>
            <w:gridSpan w:val="2"/>
          </w:tcPr>
          <w:p>
            <w:pPr/>
            <w:r>
              <w:rPr>
                <w:lang w:val="zh-CN"/>
                <w:rFonts w:ascii="Times New Roman" w:hAnsi="Times New Roman" w:cs="Times New Roman"/>
                <w:sz w:val="20"/>
                <w:szCs w:val="20"/>
                <w:color w:val="000000"/>
              </w:rPr>
              <w:t>530103195810270928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10、李宜生</w:t>
            </w:r>
          </w:p>
        </w:tc>
        <w:tc>
          <w:tcPr>
            <w:tcW w:w="2310" w:type="dxa"/>
            <w:vAlign w:val="center"/>
            <w:gridSpan w:val="2"/>
          </w:tcPr>
          <w:p>
            <w:pPr/>
            <w:r>
              <w:rPr>
                <w:lang w:val="zh-CN"/>
                <w:rFonts w:ascii="Times New Roman" w:hAnsi="Times New Roman" w:cs="Times New Roman"/>
                <w:sz w:val="20"/>
                <w:szCs w:val="20"/>
                <w:color w:val="000000"/>
              </w:rPr>
              <w:t>530103195506152919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11、陈红燕</w:t>
            </w:r>
          </w:p>
        </w:tc>
        <w:tc>
          <w:tcPr>
            <w:tcW w:w="2310" w:type="dxa"/>
            <w:vAlign w:val="center"/>
            <w:gridSpan w:val="2"/>
          </w:tcPr>
          <w:p>
            <w:pPr/>
            <w:r>
              <w:rPr>
                <w:lang w:val="zh-CN"/>
                <w:rFonts w:ascii="Times New Roman" w:hAnsi="Times New Roman" w:cs="Times New Roman"/>
                <w:sz w:val="20"/>
                <w:szCs w:val="20"/>
                <w:color w:val="000000"/>
              </w:rPr>
              <w:t>532301196201123724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12、田钢</w:t>
            </w:r>
          </w:p>
        </w:tc>
        <w:tc>
          <w:tcPr>
            <w:tcW w:w="2310" w:type="dxa"/>
            <w:vAlign w:val="center"/>
            <w:gridSpan w:val="2"/>
          </w:tcPr>
          <w:p>
            <w:pPr/>
            <w:r>
              <w:rPr>
                <w:lang w:val="zh-CN"/>
                <w:rFonts w:ascii="Times New Roman" w:hAnsi="Times New Roman" w:cs="Times New Roman"/>
                <w:sz w:val="20"/>
                <w:szCs w:val="20"/>
                <w:color w:val="000000"/>
              </w:rPr>
              <w:t>532301196408203713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13、李丽华</w:t>
            </w:r>
          </w:p>
        </w:tc>
        <w:tc>
          <w:tcPr>
            <w:tcW w:w="2310" w:type="dxa"/>
            <w:vAlign w:val="center"/>
            <w:gridSpan w:val="2"/>
          </w:tcPr>
          <w:p>
            <w:pPr/>
            <w:r>
              <w:rPr>
                <w:lang w:val="zh-CN"/>
                <w:rFonts w:ascii="Times New Roman" w:hAnsi="Times New Roman" w:cs="Times New Roman"/>
                <w:sz w:val="20"/>
                <w:szCs w:val="20"/>
                <w:color w:val="000000"/>
              </w:rPr>
              <w:t>530111196005212025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14、董建平</w:t>
            </w:r>
          </w:p>
        </w:tc>
        <w:tc>
          <w:tcPr>
            <w:tcW w:w="2310" w:type="dxa"/>
            <w:vAlign w:val="center"/>
            <w:gridSpan w:val="2"/>
          </w:tcPr>
          <w:p>
            <w:pPr/>
            <w:r>
              <w:rPr>
                <w:lang w:val="zh-CN"/>
                <w:rFonts w:ascii="Times New Roman" w:hAnsi="Times New Roman" w:cs="Times New Roman"/>
                <w:sz w:val="20"/>
                <w:szCs w:val="20"/>
                <w:color w:val="000000"/>
              </w:rPr>
              <w:t>530111195611282037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15、张焱</w:t>
            </w:r>
          </w:p>
        </w:tc>
        <w:tc>
          <w:tcPr>
            <w:tcW w:w="2310" w:type="dxa"/>
            <w:vAlign w:val="center"/>
            <w:gridSpan w:val="2"/>
          </w:tcPr>
          <w:p>
            <w:pPr/>
            <w:r>
              <w:rPr>
                <w:lang w:val="zh-CN"/>
                <w:rFonts w:ascii="Times New Roman" w:hAnsi="Times New Roman" w:cs="Times New Roman"/>
                <w:sz w:val="20"/>
                <w:szCs w:val="20"/>
                <w:color w:val="000000"/>
              </w:rPr>
              <w:t>532301195610201135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16、申和凤</w:t>
            </w:r>
          </w:p>
        </w:tc>
        <w:tc>
          <w:tcPr>
            <w:tcW w:w="2310" w:type="dxa"/>
            <w:vAlign w:val="center"/>
            <w:gridSpan w:val="2"/>
          </w:tcPr>
          <w:p>
            <w:pPr/>
            <w:r>
              <w:rPr>
                <w:lang w:val="zh-CN"/>
                <w:rFonts w:ascii="Times New Roman" w:hAnsi="Times New Roman" w:cs="Times New Roman"/>
                <w:sz w:val="20"/>
                <w:szCs w:val="20"/>
                <w:color w:val="000000"/>
              </w:rPr>
              <w:t>532301196101061124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17、刘建魁</w:t>
            </w:r>
          </w:p>
        </w:tc>
        <w:tc>
          <w:tcPr>
            <w:tcW w:w="2310" w:type="dxa"/>
            <w:vAlign w:val="center"/>
            <w:gridSpan w:val="2"/>
          </w:tcPr>
          <w:p>
            <w:pPr/>
            <w:r>
              <w:rPr>
                <w:lang w:val="zh-CN"/>
                <w:rFonts w:ascii="Times New Roman" w:hAnsi="Times New Roman" w:cs="Times New Roman"/>
                <w:sz w:val="20"/>
                <w:szCs w:val="20"/>
                <w:color w:val="000000"/>
              </w:rPr>
              <w:t>532301195306231110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18、张金姚</w:t>
            </w:r>
          </w:p>
        </w:tc>
        <w:tc>
          <w:tcPr>
            <w:tcW w:w="2310" w:type="dxa"/>
            <w:vAlign w:val="center"/>
            <w:gridSpan w:val="2"/>
          </w:tcPr>
          <w:p>
            <w:pPr/>
            <w:r>
              <w:rPr>
                <w:lang w:val="zh-CN"/>
                <w:rFonts w:ascii="Times New Roman" w:hAnsi="Times New Roman" w:cs="Times New Roman"/>
                <w:sz w:val="20"/>
                <w:szCs w:val="20"/>
                <w:color w:val="000000"/>
              </w:rPr>
              <w:t>532301195604281124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19、赵兴林</w:t>
            </w:r>
          </w:p>
        </w:tc>
        <w:tc>
          <w:tcPr>
            <w:tcW w:w="2310" w:type="dxa"/>
            <w:vAlign w:val="center"/>
            <w:gridSpan w:val="2"/>
          </w:tcPr>
          <w:p>
            <w:pPr/>
            <w:r>
              <w:rPr>
                <w:lang w:val="zh-CN"/>
                <w:rFonts w:ascii="Times New Roman" w:hAnsi="Times New Roman" w:cs="Times New Roman"/>
                <w:sz w:val="20"/>
                <w:szCs w:val="20"/>
                <w:color w:val="000000"/>
              </w:rPr>
              <w:t>532301195510053913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20、吕淑萍</w:t>
            </w:r>
          </w:p>
        </w:tc>
        <w:tc>
          <w:tcPr>
            <w:tcW w:w="2310" w:type="dxa"/>
            <w:vAlign w:val="center"/>
            <w:gridSpan w:val="2"/>
          </w:tcPr>
          <w:p>
            <w:pPr/>
            <w:r>
              <w:rPr>
                <w:lang w:val="zh-CN"/>
                <w:rFonts w:ascii="Times New Roman" w:hAnsi="Times New Roman" w:cs="Times New Roman"/>
                <w:sz w:val="20"/>
                <w:szCs w:val="20"/>
                <w:color w:val="000000"/>
              </w:rPr>
              <w:t>532301195808281724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21、刘琼</w:t>
            </w:r>
          </w:p>
        </w:tc>
        <w:tc>
          <w:tcPr>
            <w:tcW w:w="2310" w:type="dxa"/>
            <w:vAlign w:val="center"/>
            <w:gridSpan w:val="2"/>
          </w:tcPr>
          <w:p>
            <w:pPr/>
            <w:r>
              <w:rPr>
                <w:lang w:val="zh-CN"/>
                <w:rFonts w:ascii="Times New Roman" w:hAnsi="Times New Roman" w:cs="Times New Roman"/>
                <w:sz w:val="20"/>
                <w:szCs w:val="20"/>
                <w:color w:val="000000"/>
              </w:rPr>
              <w:t>532301196501061123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22、施惠莲</w:t>
            </w:r>
          </w:p>
        </w:tc>
        <w:tc>
          <w:tcPr>
            <w:tcW w:w="2310" w:type="dxa"/>
            <w:vAlign w:val="center"/>
            <w:gridSpan w:val="2"/>
          </w:tcPr>
          <w:p>
            <w:pPr/>
            <w:r>
              <w:rPr>
                <w:lang w:val="zh-CN"/>
                <w:rFonts w:ascii="Times New Roman" w:hAnsi="Times New Roman" w:cs="Times New Roman"/>
                <w:sz w:val="20"/>
                <w:szCs w:val="20"/>
                <w:color w:val="000000"/>
              </w:rPr>
              <w:t>532301196406111145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23、李跃梅</w:t>
            </w:r>
          </w:p>
        </w:tc>
        <w:tc>
          <w:tcPr>
            <w:tcW w:w="2310" w:type="dxa"/>
            <w:vAlign w:val="center"/>
            <w:gridSpan w:val="2"/>
          </w:tcPr>
          <w:p>
            <w:pPr/>
            <w:r>
              <w:rPr>
                <w:lang w:val="zh-CN"/>
                <w:rFonts w:ascii="Times New Roman" w:hAnsi="Times New Roman" w:cs="Times New Roman"/>
                <w:sz w:val="20"/>
                <w:szCs w:val="20"/>
                <w:color w:val="000000"/>
              </w:rPr>
              <w:t>530111195904040023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24、李勇勤</w:t>
            </w:r>
          </w:p>
        </w:tc>
        <w:tc>
          <w:tcPr>
            <w:tcW w:w="2310" w:type="dxa"/>
            <w:vAlign w:val="center"/>
            <w:gridSpan w:val="2"/>
          </w:tcPr>
          <w:p>
            <w:pPr/>
            <w:r>
              <w:rPr>
                <w:lang w:val="zh-CN"/>
                <w:rFonts w:ascii="Times New Roman" w:hAnsi="Times New Roman" w:cs="Times New Roman"/>
                <w:sz w:val="20"/>
                <w:szCs w:val="20"/>
                <w:color w:val="000000"/>
              </w:rPr>
              <w:t>530103196004232577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25、李萍梅</w:t>
            </w:r>
          </w:p>
        </w:tc>
        <w:tc>
          <w:tcPr>
            <w:tcW w:w="2310" w:type="dxa"/>
            <w:vAlign w:val="center"/>
            <w:gridSpan w:val="2"/>
          </w:tcPr>
          <w:p>
            <w:pPr/>
            <w:r>
              <w:rPr>
                <w:lang w:val="zh-CN"/>
                <w:rFonts w:ascii="Times New Roman" w:hAnsi="Times New Roman" w:cs="Times New Roman"/>
                <w:sz w:val="20"/>
                <w:szCs w:val="20"/>
                <w:color w:val="000000"/>
              </w:rPr>
              <w:t>530103194912061225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26、陆家简</w:t>
            </w:r>
          </w:p>
        </w:tc>
        <w:tc>
          <w:tcPr>
            <w:tcW w:w="2310" w:type="dxa"/>
            <w:vAlign w:val="center"/>
            <w:gridSpan w:val="2"/>
          </w:tcPr>
          <w:p>
            <w:pPr/>
            <w:r>
              <w:rPr>
                <w:lang w:val="zh-CN"/>
                <w:rFonts w:ascii="Times New Roman" w:hAnsi="Times New Roman" w:cs="Times New Roman"/>
                <w:sz w:val="20"/>
                <w:szCs w:val="20"/>
                <w:color w:val="000000"/>
              </w:rPr>
              <w:t>530102194705052733</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26</w:t>
            </w:r>
          </w:p>
        </w:tc>
        <w:tc>
          <w:tcPr>
            <w:tcW w:w="2310" w:type="dxa"/>
          </w:tcPr>
          <w:p>
            <w:pPr/>
            <w:r>
              <w:rPr>
                <w:lang w:val="zh-CN"/>
                <w:rFonts w:ascii="Times New Roman" w:hAnsi="Times New Roman" w:cs="Times New Roman"/>
                <w:sz w:val="20"/>
                <w:szCs w:val="20"/>
                <w:color w:val="000000"/>
              </w:rPr>
              <w:t>2280.00</w:t>
            </w:r>
          </w:p>
        </w:tc>
        <w:tc>
          <w:tcPr>
            <w:tcW w:w="2310" w:type="dxa"/>
          </w:tcPr>
          <w:p>
            <w:pPr/>
            <w:r>
              <w:rPr>
                <w:lang w:val="zh-CN"/>
                <w:rFonts w:ascii="Times New Roman" w:hAnsi="Times New Roman" w:cs="Times New Roman"/>
                <w:sz w:val="20"/>
                <w:szCs w:val="20"/>
                <w:color w:val="000000"/>
              </w:rPr>
              <w:t>59280.00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总金额：伍万玖仟贰佰捌拾元整</w:t>
            </w:r>
          </w:p>
        </w:tc>
        <w:tc>
          <w:tcPr>
            <w:tcW w:w="2310" w:type="dxa"/>
            <w:textDirection w:val="right"/>
            <w:gridSpan w:val="3"/>
          </w:tcPr>
          <w:p>
            <w:pPr/>
            <w:r>
              <w:rPr>
                <w:lang w:val="zh-CN"/>
                <w:rFonts w:ascii="Times New Roman" w:hAnsi="Times New Roman" w:cs="Times New Roman"/>
                <w:b/>
                <w:color w:val="FF0000"/>
              </w:rPr>
              <w:t>59280.00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2025/04/10</w:t>
            </w:r>
          </w:p>
        </w:tc>
        <w:tc>
          <w:tcPr>
            <w:tcW w:w="2310" w:type="dxa"/>
            <w:gridSpan w:val="7"/>
          </w:tcPr>
          <w:p>
            <w:pPr/>
            <w:r>
              <w:rPr>
                <w:lang w:val="zh-CN"/>
                <w:rFonts w:ascii="Times New Roman" w:hAnsi="Times New Roman" w:cs="Times New Roman"/>
                <w:b/>
                <w:color w:val="000000"/>
              </w:rPr>
              <w:t>昆明-乌鲁木齐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昆明-乌鲁木齐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2025/04/11</w:t>
            </w:r>
          </w:p>
        </w:tc>
        <w:tc>
          <w:tcPr>
            <w:tcW w:w="2310" w:type="dxa"/>
            <w:gridSpan w:val="7"/>
          </w:tcPr>
          <w:p>
            <w:pPr/>
            <w:r>
              <w:rPr>
                <w:lang w:val="zh-CN"/>
                <w:rFonts w:ascii="Times New Roman" w:hAnsi="Times New Roman" w:cs="Times New Roman"/>
                <w:b/>
                <w:color w:val="000000"/>
              </w:rPr>
              <w:t>火车上</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火车上</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2025/04/12</w:t>
            </w:r>
          </w:p>
        </w:tc>
        <w:tc>
          <w:tcPr>
            <w:tcW w:w="2310" w:type="dxa"/>
            <w:gridSpan w:val="7"/>
          </w:tcPr>
          <w:p>
            <w:pPr/>
            <w:r>
              <w:rPr>
                <w:lang w:val="zh-CN"/>
                <w:rFonts w:ascii="Times New Roman" w:hAnsi="Times New Roman" w:cs="Times New Roman"/>
                <w:b/>
                <w:color w:val="000000"/>
              </w:rPr>
              <w:t>接火车乌鲁木齐/昌吉/米泉—独山子大峡谷—博乐/双河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抵达后接火车，早餐后乘车前往博乐/双河，参观独山子大峡谷，游览后入住酒店。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 博乐/双河</w:t>
            </w:r>
          </w:p>
        </w:tc>
      </w:tr>
      <w:tr>
        <w:tc>
          <w:tcPr>
            <w:tcW w:w="2310" w:type="dxa"/>
            <w:vAlign w:val="center"/>
            <w:vMerge w:val="restart"/>
          </w:tcPr>
          <w:p>
            <w:pPr/>
            <w:r>
              <w:rPr>
                <w:lang w:val="zh-CN"/>
                <w:rFonts w:ascii="Times New Roman" w:hAnsi="Times New Roman" w:cs="Times New Roman"/>
                <w:sz w:val="20"/>
                <w:szCs w:val="20"/>
                <w:color w:val="000000"/>
              </w:rPr>
              <w:t>2025/04/13</w:t>
            </w:r>
          </w:p>
        </w:tc>
        <w:tc>
          <w:tcPr>
            <w:tcW w:w="2310" w:type="dxa"/>
            <w:gridSpan w:val="7"/>
          </w:tcPr>
          <w:p>
            <w:pPr/>
            <w:r>
              <w:rPr>
                <w:lang w:val="zh-CN"/>
                <w:rFonts w:ascii="Times New Roman" w:hAnsi="Times New Roman" w:cs="Times New Roman"/>
                <w:b/>
                <w:color w:val="000000"/>
              </w:rPr>
              <w:t>博乐/双河—赛里木湖-吐尔根杏花/福寿山杏花-那拉提/新源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从后游览神秘美丽的【赛里木湖】，此时的赛里木湖还是一个半融化的冰湖，两边云杉和冷杉直入云霄，远处雪山连绵，蔚为壮观，慢慢走在岸边，撩一把赛里木湖的水或未融化的冰雪，这一弯净海从七千多万年前流淌到今日，流传着着多少动人的故事，承载着多少当地人的向往。后沿风景如画的果子沟大桥赴伊宁，果子沟是伊犁河谷的门户，白云蓝天，雪山松树，峰回路转，风光旖旎。下午抵达号称“塞外江南”的伊宁市入住酒店休息。晚餐您可根据个人口味自行品尝新疆当地特色美食！后前往游览【吐尔根乡杏花沟】或【中华福寿山大西沟杏花谷】，后乘车入住那拉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早餐：含；午餐：含；晚餐：含；住宿：那拉提/新源</w:t>
            </w:r>
          </w:p>
        </w:tc>
      </w:tr>
      <w:tr>
        <w:tc>
          <w:tcPr>
            <w:tcW w:w="2310" w:type="dxa"/>
            <w:vAlign w:val="center"/>
            <w:vMerge w:val="restart"/>
          </w:tcPr>
          <w:p>
            <w:pPr/>
            <w:r>
              <w:rPr>
                <w:lang w:val="zh-CN"/>
                <w:rFonts w:ascii="Times New Roman" w:hAnsi="Times New Roman" w:cs="Times New Roman"/>
                <w:sz w:val="20"/>
                <w:szCs w:val="20"/>
                <w:color w:val="000000"/>
              </w:rPr>
              <w:t>2025/04/14</w:t>
            </w:r>
          </w:p>
        </w:tc>
        <w:tc>
          <w:tcPr>
            <w:tcW w:w="2310" w:type="dxa"/>
            <w:gridSpan w:val="7"/>
          </w:tcPr>
          <w:p>
            <w:pPr/>
            <w:r>
              <w:rPr>
                <w:lang w:val="zh-CN"/>
                <w:rFonts w:ascii="Times New Roman" w:hAnsi="Times New Roman" w:cs="Times New Roman"/>
                <w:b/>
                <w:color w:val="000000"/>
              </w:rPr>
              <w:t>那拉提——博乐/双河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早餐后前往“世界四大河谷草原——【那拉提大草原】，有游览结束后入住博乐/双河酒店。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早餐：含；午餐：含；晚餐：自理；住宿：伊宁市/清水河</w:t>
            </w:r>
          </w:p>
        </w:tc>
      </w:tr>
      <w:tr>
        <w:tc>
          <w:tcPr>
            <w:tcW w:w="2310" w:type="dxa"/>
            <w:vAlign w:val="center"/>
            <w:vMerge w:val="restart"/>
          </w:tcPr>
          <w:p>
            <w:pPr/>
            <w:r>
              <w:rPr>
                <w:lang w:val="zh-CN"/>
                <w:rFonts w:ascii="Times New Roman" w:hAnsi="Times New Roman" w:cs="Times New Roman"/>
                <w:sz w:val="20"/>
                <w:szCs w:val="20"/>
                <w:color w:val="000000"/>
              </w:rPr>
              <w:t>2025/04/15</w:t>
            </w:r>
          </w:p>
        </w:tc>
        <w:tc>
          <w:tcPr>
            <w:tcW w:w="2310" w:type="dxa"/>
            <w:gridSpan w:val="7"/>
          </w:tcPr>
          <w:p>
            <w:pPr/>
            <w:r>
              <w:rPr>
                <w:lang w:val="zh-CN"/>
                <w:rFonts w:ascii="Times New Roman" w:hAnsi="Times New Roman" w:cs="Times New Roman"/>
                <w:b/>
                <w:color w:val="000000"/>
              </w:rPr>
              <w:t>博乐/双河—乌鲁木齐/昌吉/米泉</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乌鲁木齐，途径石河子、奎屯市。感受兵团风貌，了解兵团重镇历史。抵达乌鲁木齐后参观【自治区博物馆】新疆维吾尔自治区博物馆是首批国家一级博物馆、省级综合性地志博物馆，是新疆维吾尔自治区的文物和标本收藏保护、科学研究和宣传教育机构。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早餐：含；午餐：含；晚餐：含；住宿：乌鲁木齐/昌吉/米泉</w:t>
            </w:r>
          </w:p>
        </w:tc>
      </w:tr>
      <w:tr>
        <w:tc>
          <w:tcPr>
            <w:tcW w:w="2310" w:type="dxa"/>
            <w:vAlign w:val="center"/>
            <w:vMerge w:val="restart"/>
          </w:tcPr>
          <w:p>
            <w:pPr/>
            <w:r>
              <w:rPr>
                <w:lang w:val="zh-CN"/>
                <w:rFonts w:ascii="Times New Roman" w:hAnsi="Times New Roman" w:cs="Times New Roman"/>
                <w:sz w:val="20"/>
                <w:szCs w:val="20"/>
                <w:color w:val="000000"/>
              </w:rPr>
              <w:t>2025/04/16</w:t>
            </w:r>
          </w:p>
        </w:tc>
        <w:tc>
          <w:tcPr>
            <w:tcW w:w="2310" w:type="dxa"/>
            <w:gridSpan w:val="7"/>
          </w:tcPr>
          <w:p>
            <w:pPr/>
            <w:r>
              <w:rPr>
                <w:lang w:val="zh-CN"/>
                <w:rFonts w:ascii="Times New Roman" w:hAnsi="Times New Roman" w:cs="Times New Roman"/>
                <w:b/>
                <w:color w:val="000000"/>
              </w:rPr>
              <w:t>乌鲁木齐/昌吉—天山天池--乌鲁木齐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王将相，下至黎民百姓都热烈追捧，几千年来人们，崇玉、爱玉、赏玉、玩玉、藏玉，人们对玉怀着一种特殊的情感，无论放在哪里，都会散发出巨大的魅力。，后赴亚欧大陆腹地干旱区自然景观的代表景区【天山天池风景区】，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早餐：含；午餐：含；晚餐：含；住宿：阜康/乌鲁木齐</w:t>
            </w:r>
          </w:p>
        </w:tc>
      </w:tr>
      <w:tr>
        <w:tc>
          <w:tcPr>
            <w:tcW w:w="2310" w:type="dxa"/>
            <w:vAlign w:val="center"/>
            <w:vMerge w:val="restart"/>
          </w:tcPr>
          <w:p>
            <w:pPr/>
            <w:r>
              <w:rPr>
                <w:lang w:val="zh-CN"/>
                <w:rFonts w:ascii="Times New Roman" w:hAnsi="Times New Roman" w:cs="Times New Roman"/>
                <w:sz w:val="20"/>
                <w:szCs w:val="20"/>
                <w:color w:val="000000"/>
              </w:rPr>
              <w:t>2025/04/17</w:t>
            </w:r>
          </w:p>
        </w:tc>
        <w:tc>
          <w:tcPr>
            <w:tcW w:w="2310" w:type="dxa"/>
            <w:gridSpan w:val="7"/>
          </w:tcPr>
          <w:p>
            <w:pPr/>
            <w:r>
              <w:rPr>
                <w:lang w:val="zh-CN"/>
                <w:rFonts w:ascii="Times New Roman" w:hAnsi="Times New Roman" w:cs="Times New Roman"/>
                <w:b/>
                <w:color w:val="000000"/>
              </w:rPr>
              <w:t>乌鲁木齐--吐鲁番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王将相，下至黎民百姓都热烈追捧，几千年来人们，崇玉、爱玉、赏玉、玩玉、藏玉，人们对玉怀着一种特殊的情感，无论放在哪里，都会散发出巨大的魅力。后乘车前往赴素有“火洲”之称的吐鲁番，游览吐鲁番的象征、素有“八百里火焰”之称的【火焰山】地处“丝绸之路”北道上。相传《西游记》中唐僧取经受阻于火焰山，孙悟空三借芭蕉扇的故事就发生在这里；使火焰山披上一层神秘的面纱，成了一座天下奇山，成了人们向往的游览胜地。游览极度干旱地区的生命血脉、中国古代三大文明工程的【坎儿井】（游览约30分钟）、人们无不为它设计构思的巧妙，工程的艰巨而赞叹。它也是我国各族人民智慧的结晶、勤劳的丰碑！后进入【农家小院】中，品尝时令水果，欣赏特色歌舞。</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早餐：含；午餐：含；晚餐：自理；住宿：吐鲁番</w:t>
            </w:r>
          </w:p>
        </w:tc>
      </w:tr>
      <w:tr>
        <w:tc>
          <w:tcPr>
            <w:tcW w:w="2310" w:type="dxa"/>
            <w:vAlign w:val="center"/>
            <w:vMerge w:val="restart"/>
          </w:tcPr>
          <w:p>
            <w:pPr/>
            <w:r>
              <w:rPr>
                <w:lang w:val="zh-CN"/>
                <w:rFonts w:ascii="Times New Roman" w:hAnsi="Times New Roman" w:cs="Times New Roman"/>
                <w:sz w:val="20"/>
                <w:szCs w:val="20"/>
                <w:color w:val="000000"/>
              </w:rPr>
              <w:t>2025/04/18</w:t>
            </w:r>
          </w:p>
        </w:tc>
        <w:tc>
          <w:tcPr>
            <w:tcW w:w="2310" w:type="dxa"/>
            <w:gridSpan w:val="7"/>
          </w:tcPr>
          <w:p>
            <w:pPr/>
            <w:r>
              <w:rPr>
                <w:lang w:val="zh-CN"/>
                <w:rFonts w:ascii="Times New Roman" w:hAnsi="Times New Roman" w:cs="Times New Roman"/>
                <w:b/>
                <w:color w:val="000000"/>
              </w:rPr>
              <w:t>吐鲁番-库木塔格沙漠----昆明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早餐后乘车前往后  游览【库木塔格沙漠】，后根据火车车次安排司机人员送吐鲁番/火车站，结束新疆愉快的旅程，返回温馨的家。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早餐：含；午餐：自理；晚餐：火车上；住宿：火车上</w:t>
            </w:r>
          </w:p>
        </w:tc>
      </w:tr>
      <w:tr>
        <w:tc>
          <w:tcPr>
            <w:tcW w:w="2310" w:type="dxa"/>
            <w:vAlign w:val="center"/>
            <w:vMerge w:val="restart"/>
          </w:tcPr>
          <w:p>
            <w:pPr/>
            <w:r>
              <w:rPr>
                <w:lang w:val="zh-CN"/>
                <w:rFonts w:ascii="Times New Roman" w:hAnsi="Times New Roman" w:cs="Times New Roman"/>
                <w:sz w:val="20"/>
                <w:szCs w:val="20"/>
                <w:color w:val="000000"/>
              </w:rPr>
              <w:t>2025/04/19</w:t>
            </w:r>
          </w:p>
        </w:tc>
        <w:tc>
          <w:tcPr>
            <w:tcW w:w="2310" w:type="dxa"/>
            <w:gridSpan w:val="7"/>
          </w:tcPr>
          <w:p>
            <w:pPr/>
            <w:r>
              <w:rPr>
                <w:lang w:val="zh-CN"/>
                <w:rFonts w:ascii="Times New Roman" w:hAnsi="Times New Roman" w:cs="Times New Roman"/>
                <w:b/>
                <w:color w:val="000000"/>
              </w:rPr>
              <w:t>火车上</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火车上沿途观光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2025/04/20</w:t>
            </w:r>
          </w:p>
        </w:tc>
        <w:tc>
          <w:tcPr>
            <w:tcW w:w="2310" w:type="dxa"/>
            <w:gridSpan w:val="7"/>
          </w:tcPr>
          <w:p>
            <w:pPr/>
            <w:r>
              <w:rPr>
                <w:lang w:val="zh-CN"/>
                <w:rFonts w:ascii="Times New Roman" w:hAnsi="Times New Roman" w:cs="Times New Roman"/>
                <w:b/>
                <w:color w:val="000000"/>
              </w:rPr>
              <w:t>抵达昆明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抵达昆明后结束愉快的行程！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费用：指定酒店双人标间。我社不提供自然单间，如出现单男单女，由客人补单房差。新疆地区限速严重，行程中的住宿根据实际情况进行调整，不降低接待标准。2、用餐费用：全程7早11正（含特色餐），正餐餐标30元/人/正，十人一桌，八菜一汤，不含酒水；人数增减时菜量相应增减；房费中所含早餐，若客人不用，费用不退；此团价格为打包优惠价所有正餐不吃不退。3、用车费用：当地空调旅游车，车型根据此团游客人数而定，保证每人每正座，若客人自行放弃当日行程，车费不予退还。4、导游费用：当地普通话优秀导游服务。10人及以下不提供导游，司机兼向导，不做专业讲解，可办理相关事宜。5、景点费用：实际游览景点（含景点首道大门票）：吐鲁番（郡王府坎儿井、火焰山）、天山天池（含门票+区间车），伊宁（赛里木湖门票+区间车），杏花沟、那拉提；提示：不含景区内其它自费项目及自费景点门票。报价已为旅行社团队的折扣价，故行程中已包含的景点门票对所有证件（学生证、教师证、老年证、残疾证等证件）均不享受任何优惠政策，其优惠价格不予退还（赠送/新增景点自愿放弃费用不退。军人除外,按照旅行社协议价退）；6、费用说明：我社保留因不可抗拒因素（如天气、路况、航班原因等）对行程调整的权利，但行程内游览景点不减少，如因此不可抗拒因素造成客人滞留，或其他费用的增加，由客人自理、游客在旅游期间自动离团及不游景点，不用餐，旅行社不退任何费用7、儿童费用：1.2米以下儿童只含导服、车位、餐费，产生门票、房费自理。备注：此团价格为打包优惠后的价格，任何门票优惠证件，所有费用不用不退，敬请谅解；儿童费用：包含费用：儿童报价含正餐半餐、车位。不含费用：酒店早餐、床位、门票、观光车、电瓶车、索道、游船费等。赠送项目如产生请按实际收费自理。景区内另行付费景点或娱乐项目，请根据喜好自愿选择。</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我社有权在不减少景点的前提下,调整景点游览次序及时间.2、如出现单数的情况下,请补单房差。(不拼房，不加床，不安排三人间)3、1.2米以下儿童只含车、半餐、导服，其他费用由客人自理。4、如遇天气、自然灾害、政府政策性调价等不可抗拒的因素导致行程延误及变更费用我社不负担责任。5、我们的接待品质是以游客合理签字反馈意见为据,为维护游客和旅行社利益,请客人认真填写,行程结束后如有客人投诉与所签意见单不符，我社以所签意见单为准！备注：1、此线路为团散线路，请提前10个工作日报名。2、机票一经开出，不得签转，不得退票。请带好有效身份证件或旅行证件。3、报名时请检查所使用的身份证件是否在有效期内，因自身原因造成不能成行，需旅游者自行承担责任；4、若受交通、气候、当地接待容量等原因影响，我社有权调整行程（景点不减少）或取消原定旅游计划。5、游览途中，遇到所提供服务与旅游合同签订时的承诺不符的，请及时联系，以便我们及时处理并改正。6、客人如自愿放弃行程中的提供标准，则不退任何费用（餐费、门票等）。7、以上旅游景点对学生证、老人证有一定的优惠政策，但以上价格已按折扣价计算成本，故客人不再享受景点门口所标示的优惠折扣！如客人某个景点不去参观，则一律不退景点的费用。8、自费项目我社导游不会强制推介，如有50%的客人参加，请不参加的客人在车外等。9、儿童费用不含床位、火车票、门票，如发生其它费用请家长现付。10、请游客在团队行程结束前，务必亲笔填写《旅游评议表》这是您对此次游览质量的最终考核标准；我司质检专员将以此作为团队质量调查的依据，否则不予受理投诉。不签服务评议表者视为放弃权利，按无接待意见处理。</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吴春梅</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刘治</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10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2025/4/10 11:26:35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