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1、杨娣会</w:t>
            </w:r>
          </w:p>
        </w:tc>
        <w:tc>
          <w:tcPr>
            <w:tcW w:w="2310" w:type="dxa"/>
            <w:vAlign w:val="center"/>
            <w:gridSpan w:val="2"/>
          </w:tcPr>
          <w:p>
            <w:pPr/>
            <w:r>
              <w:rPr>
                <w:lang w:val="zh-CN"/>
                <w:rFonts w:ascii="Times New Roman" w:hAnsi="Times New Roman" w:cs="Times New Roman"/>
                <w:sz w:val="20"/>
                <w:szCs w:val="20"/>
                <w:color w:val="000000"/>
              </w:rPr>
              <w:t>532128196711186169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2、姜英</w:t>
            </w:r>
          </w:p>
        </w:tc>
        <w:tc>
          <w:tcPr>
            <w:tcW w:w="2310" w:type="dxa"/>
            <w:vAlign w:val="center"/>
            <w:gridSpan w:val="2"/>
          </w:tcPr>
          <w:p>
            <w:pPr/>
            <w:r>
              <w:rPr>
                <w:lang w:val="zh-CN"/>
                <w:rFonts w:ascii="Times New Roman" w:hAnsi="Times New Roman" w:cs="Times New Roman"/>
                <w:sz w:val="20"/>
                <w:szCs w:val="20"/>
                <w:color w:val="000000"/>
              </w:rPr>
              <w:t>532128197204113947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2026/4/14 19:26:17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