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走啦白艳萍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白艳萍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15008883008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徐立欣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19969206235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SX110TR250206A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浮泰双卧10日（2月6日/22日，徐立欣玉溪做会）（2月11，缪清做会）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1、龙凤珍</w:t>
            </w:r>
          </w:p>
        </w:tc>
        <w:tc>
          <w:tcPr>
            <w:tcW w:w="2310" w:type="dxa"/>
            <w:vAlign w:val="center"/>
            <w:gridSpan w:val="2"/>
          </w:tcPr>
          <w:p>
            <w:pPr/>
            <w:r>
              <w:rPr>
                <w:lang w:val="zh-CN"/>
                <w:rFonts w:ascii="Times New Roman" w:hAnsi="Times New Roman" w:cs="Times New Roman"/>
                <w:sz w:val="20"/>
                <w:szCs w:val="20"/>
                <w:color w:val="000000"/>
              </w:rPr>
              <w:t>532426196210291722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2、王会荣</w:t>
            </w:r>
          </w:p>
        </w:tc>
        <w:tc>
          <w:tcPr>
            <w:tcW w:w="2310" w:type="dxa"/>
            <w:vAlign w:val="center"/>
            <w:gridSpan w:val="2"/>
          </w:tcPr>
          <w:p>
            <w:pPr/>
            <w:r>
              <w:rPr>
                <w:lang w:val="zh-CN"/>
                <w:rFonts w:ascii="Times New Roman" w:hAnsi="Times New Roman" w:cs="Times New Roman"/>
                <w:sz w:val="20"/>
                <w:szCs w:val="20"/>
                <w:color w:val="000000"/>
              </w:rPr>
              <w:t>532426196209021733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3、潘卫洪</w:t>
            </w:r>
          </w:p>
        </w:tc>
        <w:tc>
          <w:tcPr>
            <w:tcW w:w="2310" w:type="dxa"/>
            <w:vAlign w:val="center"/>
            <w:gridSpan w:val="2"/>
          </w:tcPr>
          <w:p>
            <w:pPr/>
            <w:r>
              <w:rPr>
                <w:lang w:val="zh-CN"/>
                <w:rFonts w:ascii="Times New Roman" w:hAnsi="Times New Roman" w:cs="Times New Roman"/>
                <w:sz w:val="20"/>
                <w:szCs w:val="20"/>
                <w:color w:val="000000"/>
              </w:rPr>
              <w:t>532426195708061719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4、尤长富</w:t>
            </w:r>
          </w:p>
        </w:tc>
        <w:tc>
          <w:tcPr>
            <w:tcW w:w="2310" w:type="dxa"/>
            <w:vAlign w:val="center"/>
            <w:gridSpan w:val="2"/>
          </w:tcPr>
          <w:p>
            <w:pPr/>
            <w:r>
              <w:rPr>
                <w:lang w:val="zh-CN"/>
                <w:rFonts w:ascii="Times New Roman" w:hAnsi="Times New Roman" w:cs="Times New Roman"/>
                <w:sz w:val="20"/>
                <w:szCs w:val="20"/>
                <w:color w:val="000000"/>
              </w:rPr>
              <w:t>532426194902160337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11120.00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60-69岁门票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1140.00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70岁以上门票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会销补贴两场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-1500.00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总金额：壹万壹仟零肆拾元整</w:t>
            </w:r>
          </w:p>
        </w:tc>
        <w:tc>
          <w:tcPr>
            <w:tcW w:w="2310" w:type="dxa"/>
            <w:textDirection w:val="right"/>
            <w:gridSpan w:val="3"/>
          </w:tcPr>
          <w:p>
            <w:pPr/>
            <w:r>
              <w:rPr>
                <w:lang w:val="zh-CN"/>
                <w:rFonts w:ascii="Times New Roman" w:hAnsi="Times New Roman" w:cs="Times New Roman"/>
                <w:b/>
                <w:color w:val="FF0000"/>
              </w:rPr>
              <w:t>11040.00</w:t>
            </w:r>
          </w:p>
        </w:tc>
      </w:tr>
      <w:tr>
        <w:tc>
          <w:tcPr>
            <w:tcW w:w="2310" w:type="dxa"/>
            <w:gridSpan w:val="8"/>
          </w:tcPr>
          <w:p>
            <w:pPr/>
            <w:r>
              <w:rPr>
                <w:lang w:val="zh-CN"/>
                <w:rFonts w:ascii="Times New Roman" w:hAnsi="Times New Roman" w:cs="Times New Roman"/>
                <w:sz w:val="20"/>
                <w:szCs w:val="20"/>
                <w:color w:val="000000"/>
              </w:rPr>
              <w:t xml:space="preserve">会销2场先减1500 </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2025/04/08</w:t>
            </w:r>
          </w:p>
        </w:tc>
        <w:tc>
          <w:tcPr>
            <w:tcW w:w="2310" w:type="dxa"/>
            <w:gridSpan w:val="7"/>
          </w:tcPr>
          <w:p>
            <w:pPr/>
            <w:r>
              <w:rPr>
                <w:lang w:val="zh-CN"/>
                <w:rFonts w:ascii="Times New Roman" w:hAnsi="Times New Roman" w:cs="Times New Roman"/>
                <w:b/>
                <w:color w:val="000000"/>
              </w:rPr>
              <w:t>当地-重庆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昆明---重庆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2025/04/09</w:t>
            </w:r>
          </w:p>
        </w:tc>
        <w:tc>
          <w:tcPr>
            <w:tcW w:w="2310" w:type="dxa"/>
            <w:gridSpan w:val="7"/>
          </w:tcPr>
          <w:p>
            <w:pPr/>
            <w:r>
              <w:rPr>
                <w:lang w:val="zh-CN"/>
                <w:rFonts w:ascii="Times New Roman" w:hAnsi="Times New Roman" w:cs="Times New Roman"/>
                <w:b/>
                <w:color w:val="000000"/>
              </w:rPr>
              <w:t>重庆-万州 ，游览长寿古镇、万州大瀑布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重庆-万州，游览长寿古镇、万州大瀑布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万州-宜昌 ，游览三峡大坝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万州-宜昌，游览三峡大坝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早餐：含；午餐：含；晚餐：含；住宿：宜昌</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早餐：含；午餐：含；晚餐：含；住宿：武汉</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武汉东湖、 黄鹤楼、辛亥革命纪念馆、户 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武汉东湖、黄鹤楼、辛亥革命纪念馆、户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早餐：含；午餐：含；晚餐：含；住宿：赤壁</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赤壁古战场—革命历史纪念馆-洪湖生态 园-瞿家湾</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赤壁古战场—革命历史纪念馆-洪湖生态园-瞿家湾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早餐：含；午餐：含；晚餐：含；住宿：岳阳</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万州-重庆 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万州-重庆游览重庆市内-返回当地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早餐：含；午餐：含；晚餐：自理；住宿：万州</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1、交通:重庆-奉节空调旅游大巴车，湖北湖南段为空调旅游大巴车（每人一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座）；秭归码头-奉节国内旅游船新高湖游轮；宜昌-万州-重庆单程空调旅游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大巴。昆明-重庆火车硬卧；重庆昆明火车硬卧。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2、住宿:6人间（2个上下铺）4人间4个床平铺；2人间（2个大床）；所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有舱位均带独立卫生间，卫星电视，空调，冷热水。申明2人间入住夫妻或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同拼房，6人间为男女混住。此行程船上安排为2人间浮泰3、用餐:全程含7早15正餐（船上为自助餐）；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4、导服:全程优秀中文导游陪同；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5、保险：旅游意外险。6、景点：本次活动已经得到景区大力支持，任何证件均不再享受门票优免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（景区实名制旅游，需提供身份证购票、无证件者若无法进入景区产生额外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费用游客自行负责）；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7、温馨提示：根据运管部门的相关规定，凡携带儿童出团旅游的游客，不管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大小身高，必须占座位！报团时请告知旅行社是否有小孩跟随，如有隐瞒，司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机发现超载拒绝驾驶，同时有权要求乘客下车！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不包含：景区内自愿乘坐小交通：荆州古城上墙费35元起，黄鹤楼电瓶车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10元单边，东湖电瓶车20单边，赤壁古战场20元</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1、凡参加旅游团的游客请携带本人有效身份证原件。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2、行程中所列停靠地点为游客在景区外自由活动，如游客想参加当地自费景点项目可在随船景区工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作人员处购买，不游览景点的游客可以在船上或者岸上自由活动，自由活动期间导游不能提供服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务，敬请游客谅解。游客在景区或者轮船购买食品或特产，游客需要注意商品的保质期，如保质期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即将过期或者已过期，请放弃购买，如要购买熟食品，游客需注意食品卫生，尽量不购买熟食品。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3、景区内可跟随导游游览或自行游览，进入景区人多容易走散，导游在景区内很难跟随每一位游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客，所以主要以自己游览的方式在景区内游览，如与导游走散，请在规定时间、统一在景区外停车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场集合。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4、自由活动期间司机、导游则无法提供服务请谅解。（自由活动期间请客人自行负责人身财产安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全，我社不承担任何责任）。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5、旅行社郑重提醒游客不得参观或者参与违反我国法律、法规、社会公德和旅游目的地的相关法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律、风俗习惯、宗教禁忌的项目或者活动。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6、晚间休息，注意检查房门、窗是否关好，贵重物品需贴身保管。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7、在旅游行程中因人力不可抗拒因素（如飞机、火车、轮船延误、交通事故、自然灾害、社会因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素、国家政策、战争、瘟疫等）因不可抗因素导致行程变更，我社尽力协调。根据实际行程情况，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游客自愿同意旅行社在保证不降低行程标准的情况下对行程游览和住房顺序进行前后调整。因情况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严重导致不能履行合同及行程，本公司不承担任何违约责任。由此导致的费用增加由游客自理，减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少的费用，本公司全额退还。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8、整个行程中地接社导游不会推荐自费景点及自费项目，游客在自由活动期间自行参加的我社不予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提供服务，敬请客人谅解。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9、此团费为提前团队采购优惠价，客人自愿放弃的景点，费用将不退还。如果行程为散客拼团行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程，非独立组团，请在签定旅游合同时签定散客拼团协议书，我社会对团队质量随时进行监控，请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客人理解散客拼团局限性，并就团队质量问题及时与我社沟通，以便及时协助解决。（本条仅适用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于散客拼团）。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10、要求客人遵守该旅游行程，妥善保管有效证件和随身物品。如果客人中途离团，必须向导游做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事先书面说明，离团过程中一切责任由客人自行负责，未产生的费用恕不退还。客人自行离船视同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自动脱团，客人因脱团发生的误船漏乘及其它安全事故与旅行社及轮船无关。自客人脱团起，视同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自愿放弃所有游览项目及旅行社综合服务。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11、接待质量以在旅游当地游客填写的意见单为主要依据，客人务必认真填写，如果在旅行过程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中，出现任何质量方面的问题，请及时与地接导游协调。如地接导游的协调和处理无法让您满意请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及时拨打报名营业点电话，我社会第一时间处理。旅途结束前，请如实填写《游客意见单》，（意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见单是维护游客权益的重要凭证）我们将以此作为客人对我社旅游接待质量的依据之一，恕不受理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因虚假填写或不填写意见单而产生的后续争议和投诉。如行程中对我社的接待服务或标准有异议，请在当地及时提出并在当地及时解决。如在整个行程中都未有对接待质量方面的反映，返程后再提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出对接待质量的投诉，且无任何证据的情况下我社则视为无效投诉。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白艳萍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徐立欣</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2025/4/8 10:55:48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