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弥勒走啦</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王</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18387672413</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魏忠福</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XJ208CZ260421B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疆夏伊犁双飞8天（散拼）（往返直飞）</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2026-04-21</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2026-04-28</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6(6大)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1、高家户</w:t>
            </w:r>
          </w:p>
        </w:tc>
        <w:tc>
          <w:tcPr>
            <w:tcW w:w="2310" w:type="dxa"/>
            <w:vAlign w:val="center"/>
            <w:gridSpan w:val="2"/>
          </w:tcPr>
          <w:p>
            <w:pPr/>
            <w:r>
              <w:rPr>
                <w:lang w:val="zh-CN"/>
                <w:rFonts w:ascii="Times New Roman" w:hAnsi="Times New Roman" w:cs="Times New Roman"/>
                <w:sz w:val="20"/>
                <w:szCs w:val="20"/>
                <w:color w:val="000000"/>
              </w:rPr>
              <w:t>532526195707103812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2、杨家翠</w:t>
            </w:r>
          </w:p>
        </w:tc>
        <w:tc>
          <w:tcPr>
            <w:tcW w:w="2310" w:type="dxa"/>
            <w:vAlign w:val="center"/>
            <w:gridSpan w:val="2"/>
          </w:tcPr>
          <w:p>
            <w:pPr/>
            <w:r>
              <w:rPr>
                <w:lang w:val="zh-CN"/>
                <w:rFonts w:ascii="Times New Roman" w:hAnsi="Times New Roman" w:cs="Times New Roman"/>
                <w:sz w:val="20"/>
                <w:szCs w:val="20"/>
                <w:color w:val="000000"/>
              </w:rPr>
              <w:t>532526197606103900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3、吕泽</w:t>
            </w:r>
          </w:p>
        </w:tc>
        <w:tc>
          <w:tcPr>
            <w:tcW w:w="2310" w:type="dxa"/>
            <w:vAlign w:val="center"/>
            <w:gridSpan w:val="2"/>
          </w:tcPr>
          <w:p>
            <w:pPr/>
            <w:r>
              <w:rPr>
                <w:lang w:val="zh-CN"/>
                <w:rFonts w:ascii="Times New Roman" w:hAnsi="Times New Roman" w:cs="Times New Roman"/>
                <w:sz w:val="20"/>
                <w:szCs w:val="20"/>
                <w:color w:val="000000"/>
              </w:rPr>
              <w:t>532526197612033857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4、李应松</w:t>
            </w:r>
          </w:p>
        </w:tc>
        <w:tc>
          <w:tcPr>
            <w:tcW w:w="2310" w:type="dxa"/>
            <w:vAlign w:val="center"/>
            <w:gridSpan w:val="2"/>
          </w:tcPr>
          <w:p>
            <w:pPr/>
            <w:r>
              <w:rPr>
                <w:lang w:val="zh-CN"/>
                <w:rFonts w:ascii="Times New Roman" w:hAnsi="Times New Roman" w:cs="Times New Roman"/>
                <w:sz w:val="20"/>
                <w:szCs w:val="20"/>
                <w:color w:val="000000"/>
              </w:rPr>
              <w:t>532526197106013810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5、杜树艳</w:t>
            </w:r>
          </w:p>
        </w:tc>
        <w:tc>
          <w:tcPr>
            <w:tcW w:w="2310" w:type="dxa"/>
            <w:vAlign w:val="center"/>
            <w:gridSpan w:val="2"/>
          </w:tcPr>
          <w:p>
            <w:pPr/>
            <w:r>
              <w:rPr>
                <w:lang w:val="zh-CN"/>
                <w:rFonts w:ascii="Times New Roman" w:hAnsi="Times New Roman" w:cs="Times New Roman"/>
                <w:sz w:val="20"/>
                <w:szCs w:val="20"/>
                <w:color w:val="000000"/>
              </w:rPr>
              <w:t>532526198405153826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6、邓永林</w:t>
            </w:r>
          </w:p>
        </w:tc>
        <w:tc>
          <w:tcPr>
            <w:tcW w:w="2310" w:type="dxa"/>
            <w:vAlign w:val="center"/>
            <w:gridSpan w:val="2"/>
          </w:tcPr>
          <w:p>
            <w:pPr/>
            <w:r>
              <w:rPr>
                <w:lang w:val="zh-CN"/>
                <w:rFonts w:ascii="Times New Roman" w:hAnsi="Times New Roman" w:cs="Times New Roman"/>
                <w:sz w:val="20"/>
                <w:szCs w:val="20"/>
                <w:color w:val="000000"/>
              </w:rPr>
              <w:t>53252619620318385X</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6</w:t>
            </w:r>
          </w:p>
        </w:tc>
        <w:tc>
          <w:tcPr>
            <w:tcW w:w="2310" w:type="dxa"/>
          </w:tcPr>
          <w:p>
            <w:pPr/>
            <w:r>
              <w:rPr>
                <w:lang w:val="zh-CN"/>
                <w:rFonts w:ascii="Times New Roman" w:hAnsi="Times New Roman" w:cs="Times New Roman"/>
                <w:sz w:val="20"/>
                <w:szCs w:val="20"/>
                <w:color w:val="000000"/>
              </w:rPr>
              <w:t>2680.00</w:t>
            </w:r>
          </w:p>
        </w:tc>
        <w:tc>
          <w:tcPr>
            <w:tcW w:w="2310" w:type="dxa"/>
          </w:tcPr>
          <w:p>
            <w:pPr/>
            <w:r>
              <w:rPr>
                <w:lang w:val="zh-CN"/>
                <w:rFonts w:ascii="Times New Roman" w:hAnsi="Times New Roman" w:cs="Times New Roman"/>
                <w:sz w:val="20"/>
                <w:szCs w:val="20"/>
                <w:color w:val="000000"/>
              </w:rPr>
              <w:t>16080.00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总金额：壹万陆仟零捌拾元整</w:t>
            </w:r>
          </w:p>
        </w:tc>
        <w:tc>
          <w:tcPr>
            <w:tcW w:w="2310" w:type="dxa"/>
            <w:textDirection w:val="right"/>
            <w:gridSpan w:val="3"/>
          </w:tcPr>
          <w:p>
            <w:pPr/>
            <w:r>
              <w:rPr>
                <w:lang w:val="zh-CN"/>
                <w:rFonts w:ascii="Times New Roman" w:hAnsi="Times New Roman" w:cs="Times New Roman"/>
                <w:b/>
                <w:color w:val="FF0000"/>
              </w:rPr>
              <w:t>16080.00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2026/04/21</w:t>
            </w:r>
          </w:p>
        </w:tc>
        <w:tc>
          <w:tcPr>
            <w:tcW w:w="2310" w:type="dxa"/>
            <w:gridSpan w:val="7"/>
          </w:tcPr>
          <w:p>
            <w:pPr/>
            <w:r>
              <w:rPr>
                <w:lang w:val="zh-CN"/>
                <w:rFonts w:ascii="Times New Roman" w:hAnsi="Times New Roman" w:cs="Times New Roman"/>
                <w:b/>
                <w:color w:val="000000"/>
              </w:rPr>
              <w:t>昆明—乌鲁木齐(飞机)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昆明乘航班前往举世闻名的“歌舞之乡 、瓜果之乡 、 金玉之邦 ”—新疆自治区首府【乌鲁木齐】（准葛尔蒙古 语为“ 优美的牧场 ”），接机后入住酒店，今天行程结束。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2026/04/22</w:t>
            </w:r>
          </w:p>
        </w:tc>
        <w:tc>
          <w:tcPr>
            <w:tcW w:w="2310" w:type="dxa"/>
            <w:gridSpan w:val="7"/>
          </w:tcPr>
          <w:p>
            <w:pPr/>
            <w:r>
              <w:rPr>
                <w:lang w:val="zh-CN"/>
                <w:rFonts w:ascii="Times New Roman" w:hAnsi="Times New Roman" w:cs="Times New Roman"/>
                <w:b/>
                <w:color w:val="000000"/>
              </w:rPr>
              <w:t>乌鲁木齐/昌吉/米泉—木特塔尔沙漠—博乐/双河(大巴)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 餐 后 乘车 前 往 博 乐/ 双 河  ，参 观【 木 特 塔 尔沙 漠 】。 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早餐：含；午餐：含；晚餐：含；住宿：博乐/双河</w:t>
            </w:r>
          </w:p>
        </w:tc>
      </w:tr>
      <w:tr>
        <w:tc>
          <w:tcPr>
            <w:tcW w:w="2310" w:type="dxa"/>
            <w:vAlign w:val="center"/>
            <w:vMerge w:val="restart"/>
          </w:tcPr>
          <w:p>
            <w:pPr/>
            <w:r>
              <w:rPr>
                <w:lang w:val="zh-CN"/>
                <w:rFonts w:ascii="Times New Roman" w:hAnsi="Times New Roman" w:cs="Times New Roman"/>
                <w:sz w:val="20"/>
                <w:szCs w:val="20"/>
                <w:color w:val="000000"/>
              </w:rPr>
              <w:t>2026/04/23</w:t>
            </w:r>
          </w:p>
        </w:tc>
        <w:tc>
          <w:tcPr>
            <w:tcW w:w="2310" w:type="dxa"/>
            <w:gridSpan w:val="7"/>
          </w:tcPr>
          <w:p>
            <w:pPr/>
            <w:r>
              <w:rPr>
                <w:lang w:val="zh-CN"/>
                <w:rFonts w:ascii="Times New Roman" w:hAnsi="Times New Roman" w:cs="Times New Roman"/>
                <w:b/>
                <w:color w:val="000000"/>
              </w:rPr>
              <w:t>博乐/双河—赛里木湖-吐尔根杏花/福寿山杏花-那拉提/新源(大巴)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早餐后从后游览 神秘美丽的【赛里木湖】 ！后前往游览【吐尔根乡杏花沟】 或【中华福寿山大西沟杏花谷】 3月底—4 月中旬，游览 【吐尔根杏花沟】 （ 因花期问题，不去不退费用 ）， ；4月中旬—4月底，游览【大西沟中华福寿山景区】（ 一般吐尔根杏花花期过了之后，我们会去这 里拍摄 。 因花期问题 ，不去不退费用 ）亚 洲 独 有 的 珍 稀 野 生 林 果 樱 桃 李 就 在 此 处 。 大 西 沟 是 新 疆 惟 一 的 野 酸 梅 林 分 布 区 ，4 中 -5 月 初 正 值 杏 花 和 野 酸梅 开 花 的季节   ，到处都是盛开的桃花  ，有粉红的 、深红的 、浅紫的  ，在绿叶的衬托下  ，显得更加娇美  ，是摄影爱好者的天堂, 赏花之余，谈古论今，领略陶渊明笔下 “世外桃源 ” 的独特情趣  ，别有一番风味 。 前往伊宁市【六星街】 是中国塞外江南之城的新疆伊犁州伊宁市的一个古老街区，后入住酒店。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早餐：含；午餐：含；晚餐：含；住宿：那拉提/新源</w:t>
            </w:r>
          </w:p>
        </w:tc>
      </w:tr>
      <w:tr>
        <w:tc>
          <w:tcPr>
            <w:tcW w:w="2310" w:type="dxa"/>
            <w:vAlign w:val="center"/>
            <w:vMerge w:val="restart"/>
          </w:tcPr>
          <w:p>
            <w:pPr/>
            <w:r>
              <w:rPr>
                <w:lang w:val="zh-CN"/>
                <w:rFonts w:ascii="Times New Roman" w:hAnsi="Times New Roman" w:cs="Times New Roman"/>
                <w:sz w:val="20"/>
                <w:szCs w:val="20"/>
                <w:color w:val="000000"/>
              </w:rPr>
              <w:t>2026/04/24</w:t>
            </w:r>
          </w:p>
        </w:tc>
        <w:tc>
          <w:tcPr>
            <w:tcW w:w="2310" w:type="dxa"/>
            <w:gridSpan w:val="7"/>
          </w:tcPr>
          <w:p>
            <w:pPr/>
            <w:r>
              <w:rPr>
                <w:lang w:val="zh-CN"/>
                <w:rFonts w:ascii="Times New Roman" w:hAnsi="Times New Roman" w:cs="Times New Roman"/>
                <w:b/>
                <w:color w:val="000000"/>
              </w:rPr>
              <w:t>那拉提——和静/库尔勒(大巴)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太阳升起的地方 ”—世界四大河谷草原 — — 【那拉提大草原】 乘坐景区区间车进入景区游览观光 , 沿途观光巩乃斯河谷原始森林  ，后入乘车前往住和静/库尔勒酒店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早餐：含；午餐：含；晚餐：含；住宿：和静/库尔勒</w:t>
            </w:r>
          </w:p>
        </w:tc>
      </w:tr>
      <w:tr>
        <w:tc>
          <w:tcPr>
            <w:tcW w:w="2310" w:type="dxa"/>
            <w:vAlign w:val="center"/>
            <w:vMerge w:val="restart"/>
          </w:tcPr>
          <w:p>
            <w:pPr/>
            <w:r>
              <w:rPr>
                <w:lang w:val="zh-CN"/>
                <w:rFonts w:ascii="Times New Roman" w:hAnsi="Times New Roman" w:cs="Times New Roman"/>
                <w:sz w:val="20"/>
                <w:szCs w:val="20"/>
                <w:color w:val="000000"/>
              </w:rPr>
              <w:t>2026/04/25</w:t>
            </w:r>
          </w:p>
        </w:tc>
        <w:tc>
          <w:tcPr>
            <w:tcW w:w="2310" w:type="dxa"/>
            <w:gridSpan w:val="7"/>
          </w:tcPr>
          <w:p>
            <w:pPr/>
            <w:r>
              <w:rPr>
                <w:lang w:val="zh-CN"/>
                <w:rFonts w:ascii="Times New Roman" w:hAnsi="Times New Roman" w:cs="Times New Roman"/>
                <w:b/>
                <w:color w:val="000000"/>
              </w:rPr>
              <w:t>和静/库尔勒—乌鲁木齐/昌吉/米泉(大巴)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早餐后乘车【罗布人村寨】 领略古朴的罗布人民族风情，罗布人村寨位于新疆塔里木盆地东北边缘尉犁县墩阔坦乡的塔里木河河畔, 它是一个集沙漠 、胡杨 、河流 、湖泊于一体，是一个自然景色各异，生态环境优美的旅游区，看大漠风光，听驼铃遗韵，悠悠情怀，心旷神怡 。此处有千姿百态的原始胡杨林，塔里木河与渭干河在这里交相辉映，塔克拉玛干大沙漠一望无际 。划独木舟 、食烤鱼 、操罗布泊方言的罗布民族就生长在这里 。 罗布人是新疆最古老的民族之一，他们生活在塔里木河畔的小海子边，“不种五谷，不牧牲畜，唯以小舟捕鱼为食 。 ”其方言也是新疆三大方言之一，其民俗 、 民歌 、故事都具有独特的艺术价值 。后乘车通过【天山胜利隧道】，抵达乌鲁木齐 后入住酒店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2026/04/26</w:t>
            </w:r>
          </w:p>
        </w:tc>
        <w:tc>
          <w:tcPr>
            <w:tcW w:w="2310" w:type="dxa"/>
            <w:gridSpan w:val="7"/>
          </w:tcPr>
          <w:p>
            <w:pPr/>
            <w:r>
              <w:rPr>
                <w:lang w:val="zh-CN"/>
                <w:rFonts w:ascii="Times New Roman" w:hAnsi="Times New Roman" w:cs="Times New Roman"/>
                <w:b/>
                <w:color w:val="000000"/>
              </w:rPr>
              <w:t>乌鲁木齐/昌吉—天山天池--乌鲁木齐(大巴)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约120 分钟/店  ）新疆的和田玉是中国最著名的玉石  ，古代上至帝王将相  ，下至黎民百姓都热烈追捧   ，几千年来人们  ，崇玉、爱玉 、 赏玉 、玩玉、藏玉   ，人们对玉怀着一种特殊的情感  ，无论放在哪里   ，都会散发出巨大的魅力。后乘车至【驼绒文化馆】 【天山天池风景区】 。后入住酒 店休息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2026/04/27</w:t>
            </w:r>
          </w:p>
        </w:tc>
        <w:tc>
          <w:tcPr>
            <w:tcW w:w="2310" w:type="dxa"/>
            <w:gridSpan w:val="7"/>
          </w:tcPr>
          <w:p>
            <w:pPr/>
            <w:r>
              <w:rPr>
                <w:lang w:val="zh-CN"/>
                <w:rFonts w:ascii="Times New Roman" w:hAnsi="Times New Roman" w:cs="Times New Roman"/>
                <w:b/>
                <w:color w:val="000000"/>
              </w:rPr>
              <w:t>乌鲁木齐--吐鲁番-乌鲁木齐/昌吉/米泉(大巴)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   120  分钟/店   ）新疆的和田玉是中国最著名的玉石   ，古代上至帝王将相  ，下至黎民百姓都热烈追捧  ，几千年来人们  ，崇玉 、爱玉 、赏玉 、玩玉 、藏玉  ，人们对玉怀着一种特殊的情感  ，无论放在哪里  ，都会散发出巨大的魅力 。后乘车前往赴素有 “ 火洲  ”之称的吐鲁番  ，游览吐鲁番的象征、 素有“ 八百里火焰 ”之称的【火焰山】地处 “丝绸之路 ”北道上 。 相传《西游记》  中唐僧取经受阻于火焰山  ，孙悟空三借芭蕉扇的故事就发生在这里  ；使火焰山披上一层神秘的面纱  ，成了一座天下奇山  ，成了人们向往的游览胜地  。 游览极度干旱地区的生命血脉 、 中国古代三大文明工程的【坎儿井】（  游览约  30  分钟  ） ！后进入【农家小院】 中 ，品尝时令水果，欣赏 特色歌舞 。 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2026/04/28</w:t>
            </w:r>
          </w:p>
        </w:tc>
        <w:tc>
          <w:tcPr>
            <w:tcW w:w="2310" w:type="dxa"/>
            <w:gridSpan w:val="7"/>
          </w:tcPr>
          <w:p>
            <w:pPr/>
            <w:r>
              <w:rPr>
                <w:lang w:val="zh-CN"/>
                <w:rFonts w:ascii="Times New Roman" w:hAnsi="Times New Roman" w:cs="Times New Roman"/>
                <w:b/>
                <w:color w:val="000000"/>
              </w:rPr>
              <w:t>乌鲁木齐--昆明(飞机)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根据航班时间送机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我社不提供自然单间，如出现单男单女，由客人补单房差。新疆地区限速严重，行程中的住宿根据实际情况进行调整，不降低接待标准。2、用餐费用：全程7早12正（含特色餐），正餐餐标40元/人/正，十人一桌，八菜一汤，不含酒水；人数增减时菜量相应增减；房费中所含早餐，若客人不用，费用不退；此团价格为打包优惠价所有正餐不吃不退。3、用车费用：当地空调旅游车，车型根据此团游客人数而定，保证每人每正座，若客人自行放弃当日行程，车费不予退还。4、导游费用：当地普通话优秀导游服务。10人及以下不提供导游，司机兼向导，不做专业讲解，可办理相关事宜。5、景点费用：实际游览景点（含景点首道大门票）：吐鲁番（郡王府坎儿井、火焰山）、天山天池（含门票+区间车），伊宁（赛里木湖门票+区间车），杏花沟、那拉提；提示：不含景区内其它自费项目及自费景点门票。报价已为旅行社团队的折扣价，故行程中已包含的景点门票对所有证件（学生证、教师证、老年证、残疾证等证件）均不享受任何优惠政策，其优惠价格不予退还（赠送/新增景点自愿放弃费用不退。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1.2米以下儿童只含导服、车位、餐费，产生门票、房费自理。备注：此团价格为打包优惠后的价格，任何门票优惠证件，所有费用不用不退，敬请谅解；</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特别提示:(1)新疆属大西北地区，因新疆当地条件有限，住宿酒店不能与内地条件相比较，特别山区，以标间为主，新疆旅游旺季期间，如遇行程中酒店房满，将安排不低于以上同等级酒店，望周知。(2)由于新疆安检及酒店设施问题，不能安排三人间或加床，成人不允许不占床，单人报名请补单房差；受经济发展等客观因素影响，当地酒店与内地有所差距，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王</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魏忠福</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17</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2026/4/17 15:15:50</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