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刘冬梅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XJ311TR260425B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梦回伊利双卧11天(刘治）富源+曲靖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1、周凤尧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532201195503281832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2、郭菊英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532201195402210621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3、何本智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532201195502031815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4、朱小存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532201195603031822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5、杨振刚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532201195803300337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6、代春香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532201196204210326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7、陈开生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532201195604040018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8、殷建国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53220119521011001X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9、肖润才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530113195503141117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10、张林丽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532923199611080768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17820.00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总金额：壹万柒仟捌佰贰拾元整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17820.00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。后乘车至 【驼绒文化馆】 了解当地的特产特色 ，，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刘冬梅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2026/4/22 11:47:04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