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有有假期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周艳丽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18468127746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XJ208CZ260415B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1、杨艳飞</w:t>
            </w:r>
          </w:p>
        </w:tc>
        <w:tc>
          <w:tcPr>
            <w:tcW w:w="2310" w:type="dxa"/>
            <w:vAlign w:val="center"/>
            <w:gridSpan w:val="2"/>
          </w:tcPr>
          <w:p>
            <w:pPr/>
            <w:r>
              <w:rPr>
                <w:lang w:val="zh-CN"/>
                <w:rFonts w:ascii="Times New Roman" w:hAnsi="Times New Roman" w:cs="Times New Roman"/>
                <w:sz w:val="20"/>
                <w:szCs w:val="20"/>
                <w:color w:val="000000"/>
              </w:rPr>
              <w:t>530125197907080423</w:t>
            </w:r>
          </w:p>
        </w:tc>
        <w:tc>
          <w:tcPr>
            <w:tcW w:w="2310" w:type="dxa"/>
            <w:vAlign w:val="center"/>
          </w:tcPr>
          <w:p>
            <w:pPr/>
            <w:r>
              <w:rPr>
                <w:lang w:val="zh-CN"/>
                <w:rFonts w:ascii="Times New Roman" w:hAnsi="Times New Roman" w:cs="Times New Roman"/>
                <w:sz w:val="20"/>
                <w:szCs w:val="20"/>
                <w:color w:val="000000"/>
              </w:rPr>
              <w:t>13759167964</w:t>
            </w:r>
          </w:p>
        </w:tc>
        <w:tc>
          <w:tcPr>
            <w:tcW w:w="2310" w:type="dxa"/>
            <w:vAlign w:val="center"/>
          </w:tcPr>
          <w:p>
            <w:pPr/>
            <w:r>
              <w:rPr>
                <w:lang w:val="zh-CN"/>
                <w:rFonts w:ascii="Times New Roman" w:hAnsi="Times New Roman" w:cs="Times New Roman"/>
                <w:sz w:val="20"/>
                <w:szCs w:val="20"/>
                <w:color w:val="000000"/>
              </w:rPr>
              <w:t>2、李常保</w:t>
            </w:r>
          </w:p>
        </w:tc>
        <w:tc>
          <w:tcPr>
            <w:tcW w:w="2310" w:type="dxa"/>
            <w:vAlign w:val="center"/>
            <w:gridSpan w:val="2"/>
          </w:tcPr>
          <w:p>
            <w:pPr/>
            <w:r>
              <w:rPr>
                <w:lang w:val="zh-CN"/>
                <w:rFonts w:ascii="Times New Roman" w:hAnsi="Times New Roman" w:cs="Times New Roman"/>
                <w:sz w:val="20"/>
                <w:szCs w:val="20"/>
                <w:color w:val="000000"/>
              </w:rPr>
              <w:t>530125197904260410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3、孔德琼</w:t>
            </w:r>
          </w:p>
        </w:tc>
        <w:tc>
          <w:tcPr>
            <w:tcW w:w="2310" w:type="dxa"/>
            <w:vAlign w:val="center"/>
            <w:gridSpan w:val="2"/>
          </w:tcPr>
          <w:p>
            <w:pPr/>
            <w:r>
              <w:rPr>
                <w:lang w:val="zh-CN"/>
                <w:rFonts w:ascii="Times New Roman" w:hAnsi="Times New Roman" w:cs="Times New Roman"/>
                <w:sz w:val="20"/>
                <w:szCs w:val="20"/>
                <w:color w:val="000000"/>
              </w:rPr>
              <w:t>530125198301150428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4、曹俊刚</w:t>
            </w:r>
          </w:p>
        </w:tc>
        <w:tc>
          <w:tcPr>
            <w:tcW w:w="2310" w:type="dxa"/>
            <w:vAlign w:val="center"/>
            <w:gridSpan w:val="2"/>
          </w:tcPr>
          <w:p>
            <w:pPr/>
            <w:r>
              <w:rPr>
                <w:lang w:val="zh-CN"/>
                <w:rFonts w:ascii="Times New Roman" w:hAnsi="Times New Roman" w:cs="Times New Roman"/>
                <w:sz w:val="20"/>
                <w:szCs w:val="20"/>
                <w:color w:val="000000"/>
              </w:rPr>
              <w:t>530125198211020435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9920.00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总金额：玖仟玖佰贰拾元整</w:t>
            </w:r>
          </w:p>
        </w:tc>
        <w:tc>
          <w:tcPr>
            <w:tcW w:w="2310" w:type="dxa"/>
            <w:textDirection w:val="right"/>
            <w:gridSpan w:val="3"/>
          </w:tcPr>
          <w:p>
            <w:pPr/>
            <w:r>
              <w:rPr>
                <w:lang w:val="zh-CN"/>
                <w:rFonts w:ascii="Times New Roman" w:hAnsi="Times New Roman" w:cs="Times New Roman"/>
                <w:b/>
                <w:color w:val="FF0000"/>
              </w:rPr>
              <w:t>9920.00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周艳丽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2026/4/7 11:16:11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