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众信</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武思思</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XJ208CZ260415B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1、孙咏红</w:t>
            </w:r>
          </w:p>
        </w:tc>
        <w:tc>
          <w:tcPr>
            <w:tcW w:w="2310" w:type="dxa"/>
            <w:vAlign w:val="center"/>
            <w:gridSpan w:val="2"/>
          </w:tcPr>
          <w:p>
            <w:pPr/>
            <w:r>
              <w:rPr>
                <w:lang w:val="zh-CN"/>
                <w:rFonts w:ascii="Times New Roman" w:hAnsi="Times New Roman" w:cs="Times New Roman"/>
                <w:sz w:val="20"/>
                <w:szCs w:val="20"/>
                <w:color w:val="000000"/>
              </w:rPr>
              <w:t>532201196710300025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2、唐继英</w:t>
            </w:r>
          </w:p>
        </w:tc>
        <w:tc>
          <w:tcPr>
            <w:tcW w:w="2310" w:type="dxa"/>
            <w:vAlign w:val="center"/>
            <w:gridSpan w:val="2"/>
          </w:tcPr>
          <w:p>
            <w:pPr/>
            <w:r>
              <w:rPr>
                <w:lang w:val="zh-CN"/>
                <w:rFonts w:ascii="Times New Roman" w:hAnsi="Times New Roman" w:cs="Times New Roman"/>
                <w:sz w:val="20"/>
                <w:szCs w:val="20"/>
                <w:color w:val="000000"/>
              </w:rPr>
              <w:t>530122196108292020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3、司建英</w:t>
            </w:r>
          </w:p>
        </w:tc>
        <w:tc>
          <w:tcPr>
            <w:tcW w:w="2310" w:type="dxa"/>
            <w:vAlign w:val="center"/>
            <w:gridSpan w:val="2"/>
          </w:tcPr>
          <w:p>
            <w:pPr/>
            <w:r>
              <w:rPr>
                <w:lang w:val="zh-CN"/>
                <w:rFonts w:ascii="Times New Roman" w:hAnsi="Times New Roman" w:cs="Times New Roman"/>
                <w:sz w:val="20"/>
                <w:szCs w:val="20"/>
                <w:color w:val="000000"/>
              </w:rPr>
              <w:t>53012219530914322X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4、和树英</w:t>
            </w:r>
          </w:p>
        </w:tc>
        <w:tc>
          <w:tcPr>
            <w:tcW w:w="2310" w:type="dxa"/>
            <w:vAlign w:val="center"/>
            <w:gridSpan w:val="2"/>
          </w:tcPr>
          <w:p>
            <w:pPr/>
            <w:r>
              <w:rPr>
                <w:lang w:val="zh-CN"/>
                <w:rFonts w:ascii="Times New Roman" w:hAnsi="Times New Roman" w:cs="Times New Roman"/>
                <w:sz w:val="20"/>
                <w:szCs w:val="20"/>
                <w:color w:val="000000"/>
              </w:rPr>
              <w:t>530122195801201129</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2480.00</w:t>
            </w:r>
          </w:p>
        </w:tc>
        <w:tc>
          <w:tcPr>
            <w:tcW w:w="2310" w:type="dxa"/>
          </w:tcPr>
          <w:p>
            <w:pPr/>
            <w:r>
              <w:rPr>
                <w:lang w:val="zh-CN"/>
                <w:rFonts w:ascii="Times New Roman" w:hAnsi="Times New Roman" w:cs="Times New Roman"/>
                <w:sz w:val="20"/>
                <w:szCs w:val="20"/>
                <w:color w:val="000000"/>
              </w:rPr>
              <w:t>9920.00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总金额：玖仟玖佰贰拾元整</w:t>
            </w:r>
          </w:p>
        </w:tc>
        <w:tc>
          <w:tcPr>
            <w:tcW w:w="2310" w:type="dxa"/>
            <w:textDirection w:val="right"/>
            <w:gridSpan w:val="3"/>
          </w:tcPr>
          <w:p>
            <w:pPr/>
            <w:r>
              <w:rPr>
                <w:lang w:val="zh-CN"/>
                <w:rFonts w:ascii="Times New Roman" w:hAnsi="Times New Roman" w:cs="Times New Roman"/>
                <w:b/>
                <w:color w:val="FF0000"/>
              </w:rPr>
              <w:t>9920.00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乌鲁木齐/昌吉/米泉—木特塔尔沙漠—博乐/双河</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博乐/双河—赛里木湖-吐尔根杏花/福寿山杏花-那拉提/新源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那拉提——和静/库尔勒</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和静/库尔勒—乌鲁木齐/昌吉/米泉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乌鲁木齐/昌吉—天山天池--乌鲁木齐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乌鲁木齐--吐鲁番-乌鲁木齐/昌吉/米泉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乌鲁木齐--昆明</w:t>
            </w: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武思思</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2026/4/13 15:26:44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