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临沧宝翔</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XJT13FJ260523A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南北疆途双飞13日（/转机）散拼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2026-06-04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12(12大)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2026-05-23 MU5723 昆明→西安 13:40--15:55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启程 2026-05-23 MU2251 西安→乌鲁木齐  19:25-22:55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2026-06-04 FM9546 乌鲁木齐→天府 11:10-14:45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2026-06-04 MU5848 天府→昆明 17:35-18:5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1、杨佳梅</w:t>
            </w:r>
          </w:p>
        </w:tc>
        <w:tc>
          <w:tcPr>
            <w:tcW w:w="2310" w:type="dxa"/>
            <w:vAlign w:val="center"/>
            <w:gridSpan w:val="2"/>
          </w:tcPr>
          <w:p>
            <w:pPr/>
            <w:r>
              <w:rPr>
                <w:lang w:val="zh-CN"/>
                <w:rFonts w:ascii="Times New Roman" w:hAnsi="Times New Roman" w:cs="Times New Roman"/>
                <w:sz w:val="20"/>
                <w:szCs w:val="20"/>
                <w:color w:val="000000"/>
              </w:rPr>
              <w:t>533524197005050629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2、李朝芳</w:t>
            </w:r>
          </w:p>
        </w:tc>
        <w:tc>
          <w:tcPr>
            <w:tcW w:w="2310" w:type="dxa"/>
            <w:vAlign w:val="center"/>
            <w:gridSpan w:val="2"/>
          </w:tcPr>
          <w:p>
            <w:pPr/>
            <w:r>
              <w:rPr>
                <w:lang w:val="zh-CN"/>
                <w:rFonts w:ascii="Times New Roman" w:hAnsi="Times New Roman" w:cs="Times New Roman"/>
                <w:sz w:val="20"/>
                <w:szCs w:val="20"/>
                <w:color w:val="000000"/>
              </w:rPr>
              <w:t>53352419700524006X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3、普朝惠</w:t>
            </w:r>
          </w:p>
        </w:tc>
        <w:tc>
          <w:tcPr>
            <w:tcW w:w="2310" w:type="dxa"/>
            <w:vAlign w:val="center"/>
            <w:gridSpan w:val="2"/>
          </w:tcPr>
          <w:p>
            <w:pPr/>
            <w:r>
              <w:rPr>
                <w:lang w:val="zh-CN"/>
                <w:rFonts w:ascii="Times New Roman" w:hAnsi="Times New Roman" w:cs="Times New Roman"/>
                <w:sz w:val="20"/>
                <w:szCs w:val="20"/>
                <w:color w:val="000000"/>
              </w:rPr>
              <w:t>533524197201141528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4、张伟艳</w:t>
            </w:r>
          </w:p>
        </w:tc>
        <w:tc>
          <w:tcPr>
            <w:tcW w:w="2310" w:type="dxa"/>
            <w:vAlign w:val="center"/>
            <w:gridSpan w:val="2"/>
          </w:tcPr>
          <w:p>
            <w:pPr/>
            <w:r>
              <w:rPr>
                <w:lang w:val="zh-CN"/>
                <w:rFonts w:ascii="Times New Roman" w:hAnsi="Times New Roman" w:cs="Times New Roman"/>
                <w:sz w:val="20"/>
                <w:szCs w:val="20"/>
                <w:color w:val="000000"/>
              </w:rPr>
              <w:t>533524196908123345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5、杨桂钦</w:t>
            </w:r>
          </w:p>
        </w:tc>
        <w:tc>
          <w:tcPr>
            <w:tcW w:w="2310" w:type="dxa"/>
            <w:vAlign w:val="center"/>
            <w:gridSpan w:val="2"/>
          </w:tcPr>
          <w:p>
            <w:pPr/>
            <w:r>
              <w:rPr>
                <w:lang w:val="zh-CN"/>
                <w:rFonts w:ascii="Times New Roman" w:hAnsi="Times New Roman" w:cs="Times New Roman"/>
                <w:sz w:val="20"/>
                <w:szCs w:val="20"/>
                <w:color w:val="000000"/>
              </w:rPr>
              <w:t>533524197203071260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6、李正香</w:t>
            </w:r>
          </w:p>
        </w:tc>
        <w:tc>
          <w:tcPr>
            <w:tcW w:w="2310" w:type="dxa"/>
            <w:vAlign w:val="center"/>
            <w:gridSpan w:val="2"/>
          </w:tcPr>
          <w:p>
            <w:pPr/>
            <w:r>
              <w:rPr>
                <w:lang w:val="zh-CN"/>
                <w:rFonts w:ascii="Times New Roman" w:hAnsi="Times New Roman" w:cs="Times New Roman"/>
                <w:sz w:val="20"/>
                <w:szCs w:val="20"/>
                <w:color w:val="000000"/>
              </w:rPr>
              <w:t>533524197412093327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7、彭秀云</w:t>
            </w:r>
          </w:p>
        </w:tc>
        <w:tc>
          <w:tcPr>
            <w:tcW w:w="2310" w:type="dxa"/>
            <w:vAlign w:val="center"/>
            <w:gridSpan w:val="2"/>
          </w:tcPr>
          <w:p>
            <w:pPr/>
            <w:r>
              <w:rPr>
                <w:lang w:val="zh-CN"/>
                <w:rFonts w:ascii="Times New Roman" w:hAnsi="Times New Roman" w:cs="Times New Roman"/>
                <w:sz w:val="20"/>
                <w:szCs w:val="20"/>
                <w:color w:val="000000"/>
              </w:rPr>
              <w:t>533528196505221325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8、吴强达</w:t>
            </w:r>
          </w:p>
        </w:tc>
        <w:tc>
          <w:tcPr>
            <w:tcW w:w="2310" w:type="dxa"/>
            <w:vAlign w:val="center"/>
            <w:gridSpan w:val="2"/>
          </w:tcPr>
          <w:p>
            <w:pPr/>
            <w:r>
              <w:rPr>
                <w:lang w:val="zh-CN"/>
                <w:rFonts w:ascii="Times New Roman" w:hAnsi="Times New Roman" w:cs="Times New Roman"/>
                <w:sz w:val="20"/>
                <w:szCs w:val="20"/>
                <w:color w:val="000000"/>
              </w:rPr>
              <w:t>53352819620919131X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9、却有时</w:t>
            </w:r>
          </w:p>
        </w:tc>
        <w:tc>
          <w:tcPr>
            <w:tcW w:w="2310" w:type="dxa"/>
            <w:vAlign w:val="center"/>
            <w:gridSpan w:val="2"/>
          </w:tcPr>
          <w:p>
            <w:pPr/>
            <w:r>
              <w:rPr>
                <w:lang w:val="zh-CN"/>
                <w:rFonts w:ascii="Times New Roman" w:hAnsi="Times New Roman" w:cs="Times New Roman"/>
                <w:sz w:val="20"/>
                <w:szCs w:val="20"/>
                <w:color w:val="000000"/>
              </w:rPr>
              <w:t>533521195104300015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10、吴学燕</w:t>
            </w:r>
          </w:p>
        </w:tc>
        <w:tc>
          <w:tcPr>
            <w:tcW w:w="2310" w:type="dxa"/>
            <w:vAlign w:val="center"/>
            <w:gridSpan w:val="2"/>
          </w:tcPr>
          <w:p>
            <w:pPr/>
            <w:r>
              <w:rPr>
                <w:lang w:val="zh-CN"/>
                <w:rFonts w:ascii="Times New Roman" w:hAnsi="Times New Roman" w:cs="Times New Roman"/>
                <w:sz w:val="20"/>
                <w:szCs w:val="20"/>
                <w:color w:val="000000"/>
              </w:rPr>
              <w:t>533526196401260028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11、李继承</w:t>
            </w:r>
          </w:p>
        </w:tc>
        <w:tc>
          <w:tcPr>
            <w:tcW w:w="2310" w:type="dxa"/>
            <w:vAlign w:val="center"/>
            <w:gridSpan w:val="2"/>
          </w:tcPr>
          <w:p>
            <w:pPr/>
            <w:r>
              <w:rPr>
                <w:lang w:val="zh-CN"/>
                <w:rFonts w:ascii="Times New Roman" w:hAnsi="Times New Roman" w:cs="Times New Roman"/>
                <w:sz w:val="20"/>
                <w:szCs w:val="20"/>
                <w:color w:val="000000"/>
              </w:rPr>
              <w:t>533526196211210011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12、何明芳</w:t>
            </w:r>
          </w:p>
        </w:tc>
        <w:tc>
          <w:tcPr>
            <w:tcW w:w="2310" w:type="dxa"/>
            <w:vAlign w:val="center"/>
            <w:gridSpan w:val="2"/>
          </w:tcPr>
          <w:p>
            <w:pPr/>
            <w:r>
              <w:rPr>
                <w:lang w:val="zh-CN"/>
                <w:rFonts w:ascii="Times New Roman" w:hAnsi="Times New Roman" w:cs="Times New Roman"/>
                <w:sz w:val="20"/>
                <w:szCs w:val="20"/>
                <w:color w:val="000000"/>
              </w:rPr>
              <w:t>533526196210060824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13、胡应芬</w:t>
            </w:r>
          </w:p>
        </w:tc>
        <w:tc>
          <w:tcPr>
            <w:tcW w:w="2310" w:type="dxa"/>
            <w:vAlign w:val="center"/>
            <w:gridSpan w:val="2"/>
          </w:tcPr>
          <w:p>
            <w:pPr/>
            <w:r>
              <w:rPr>
                <w:lang w:val="zh-CN"/>
                <w:rFonts w:ascii="Times New Roman" w:hAnsi="Times New Roman" w:cs="Times New Roman"/>
                <w:sz w:val="20"/>
                <w:szCs w:val="20"/>
                <w:color w:val="000000"/>
              </w:rPr>
              <w:t>533523198108140043</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12</w:t>
            </w:r>
          </w:p>
        </w:tc>
        <w:tc>
          <w:tcPr>
            <w:tcW w:w="2310" w:type="dxa"/>
          </w:tcPr>
          <w:p>
            <w:pPr/>
            <w:r>
              <w:rPr>
                <w:lang w:val="zh-CN"/>
                <w:rFonts w:ascii="Times New Roman" w:hAnsi="Times New Roman" w:cs="Times New Roman"/>
                <w:sz w:val="20"/>
                <w:szCs w:val="20"/>
                <w:color w:val="000000"/>
              </w:rPr>
              <w:t>4780.00</w:t>
            </w:r>
          </w:p>
        </w:tc>
        <w:tc>
          <w:tcPr>
            <w:tcW w:w="2310" w:type="dxa"/>
          </w:tcPr>
          <w:p>
            <w:pPr/>
            <w:r>
              <w:rPr>
                <w:lang w:val="zh-CN"/>
                <w:rFonts w:ascii="Times New Roman" w:hAnsi="Times New Roman" w:cs="Times New Roman"/>
                <w:sz w:val="20"/>
                <w:szCs w:val="20"/>
                <w:color w:val="000000"/>
              </w:rPr>
              <w:t>57360.00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全陪费用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2000.00</w:t>
            </w:r>
          </w:p>
        </w:tc>
        <w:tc>
          <w:tcPr>
            <w:tcW w:w="2310" w:type="dxa"/>
          </w:tcPr>
          <w:p>
            <w:pPr/>
            <w:r>
              <w:rPr>
                <w:lang w:val="zh-CN"/>
                <w:rFonts w:ascii="Times New Roman" w:hAnsi="Times New Roman" w:cs="Times New Roman"/>
                <w:sz w:val="20"/>
                <w:szCs w:val="20"/>
                <w:color w:val="000000"/>
              </w:rPr>
              <w:t>2000.00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总金额：伍万玖仟叁佰陆拾元整</w:t>
            </w:r>
          </w:p>
        </w:tc>
        <w:tc>
          <w:tcPr>
            <w:tcW w:w="2310" w:type="dxa"/>
            <w:textDirection w:val="right"/>
            <w:gridSpan w:val="3"/>
          </w:tcPr>
          <w:p>
            <w:pPr/>
            <w:r>
              <w:rPr>
                <w:lang w:val="zh-CN"/>
                <w:rFonts w:ascii="Times New Roman" w:hAnsi="Times New Roman" w:cs="Times New Roman"/>
                <w:b/>
                <w:color w:val="FF0000"/>
              </w:rPr>
              <w:t>59360.00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昆明-中转地-乌鲁木齐(飞机)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搭乘航班前往世界上离海洋最远的城市 -- -【乌鲁木齐】 ，它是亚洲的地理中心，也是举世闻名的古“丝绸之路 ”新北道的必经之 路。接站后前往酒店办理入住，三餐敬请自理。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乌鲁木齐/昌吉-可可托海-富蕴县（约580KM，约6小时车程）(大巴)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、途径火烧山、卡拉麦里有蹄类自然保护区，有幸可观赏到普氏野马、蒙   古野驴、黄羊等野生动物。途观好似北国江南的“可可苏里”（又名“鸭野湖”），红雁天鹅云集，野鸭密密匝匝，追逐嬉戏；秋苇迎风，一  风一景，轻唱低吟，清丽流韵。远眺“伊雷木湖”湖面深邃墨兰，幽如巨镜，青山、白云、彩霞倒影其中，好似一幅浓墨泼洒的中国画（视情   况停留拍照约30分钟）。进入【可可托海国家地质公园】（含门票+区间车）可可托海意思为 "绿色的丛林"。蒙古语意为 "蓝色的河湾"，正  如其名，可可托海的水是蓝色的和绿色的，这里是全国第二寒极。它以优美的峡谷河流、 山石林地、矿产资源、寒极湖泊和奇异的地震断裂 带为自然景色，融地质文化、地域特色、 民族风情于一体，以观光旅游、休闲度假、特种旅游（徒步、摄影等）、科学考察等为主要特色的 大型旅游景区。我们一起寻找传说中的可可托海牧羊人！参观【白桦林】 ，野生桦树林生长在额尔齐斯河凸岸河湾上，妩媚婆娑，柔软的 枝条舒缓下垂，伴着清风纤纤舞动，绰约若处子，曼妙无比；密生群居的白桦林华草铺地，峰蝶流连花间，百鸟啼转枝头，鱼儿翔游浅水， 墨清松涛浓情淡染， 山清林绿如诗如画。【神钟山】 ，又称阿米尔萨拉峰。一座神奇绝妙状如倒扣的石钟的花岗岩奇峰在额河南岸平地而 起，相对高度351米 ，孤峰傲立为阿尔泰山之最。神钟山犹如巨神插足碧水绿荫之间，头枕蓝天白云，显得巍峨神奇，变幻莫测。岩壁缝  上生长著白桦树、青松和西伯利亚云杉，雨过天晴，彩虹划天而过，景色十分壮观。后乘车前往酒店入住休息。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w:t>
            </w:r>
          </w:p>
        </w:tc>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富蕴县--喀纳斯湖--贾登峪/冲乎尔/黑流滩布尔津/福海（约190KM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早餐后，前往游览国家【5A级生态自然保护区—喀纳斯自然保护区】（ 含门票+ 区间车），喀纳斯景区先后荣获国家5A级景区、 中  国最美十大湖泊、 中国最美十大秋色、并首批入选《中国自然遗产、国家自然与文化双遗产预备名录》。喀纳斯湖是第四纪冰川作用形成的  高山湖泊 。乘坐景区区间车进入景区 ；一路欣赏原始森林， 白桦林景区；游览三道湾：【神仙湾】【卧龙湾】及【月亮湾】 ，月亮湾会随  着喀纳斯湖水颜色变化而变化，是镶在喀纳斯河的一颗明珠，美丽静谧的月亮湾是喀纳斯的标志景点 ，可自费乘【喀纳斯湖】 游船到三道  湾观喀纳斯湖两岸秀美景色 ）观喀纳斯晨曦 、云海佛光可一览湖景鱼跃，只见湖水湛蓝，湖畔山坡由下向上，可见苍绿的云杉， 白雪皑皑的 山头，衬以轻云淡抹的蓝天，湖光山色，交相辉映，不禁让人顿生此景只应天上有！午后下山前往【五彩滩景区】（赠送景点，不去不退 ，  不做等价交换），它毗邻碧波荡漾的额尔齐斯河，与对岸葱郁青翠的河谷风光遥相辉映，可谓 "一河隔两岸， 自有两重天 " 由于河岸岩层间抗   风化能力的强弱程度不一而形成了参差不齐的轮廓 ，这里的岩石颜色多变 ，且在落日时分的阳光照射下 ，岩石的色彩以红色为主，间以绿 、紫、黄、白、黑及过渡色彩，色彩斑斓。每当刮风的时候，沟壑里、岩石下，到处都会发出长短不一、高低不同的怪叫声；后乘车前往酒店入 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早餐：含；午餐：含；晚餐：含；住宿：贾登峪/冲乎尔/布尔津</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贾登峪/冲乎尔/黑流滩/禾木村/阿禾公路-贾布尔津/福海（约260公里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 ，沿途观禾木河山谷自然风光 ，抵达被誉为神的自留地的禾木村。参观【禾木古村景区】（含门票+区间车）  ,置身禾木村，你一定会怀疑自己是否来到了传说中霍比特人的家园——夏尔国。点落于狭长山谷中的座座木屋炊烟袅袅 ，阳光愉快地洒  在山坡金色的白桦林上，牛羊在山下悠闲自得地埋头吃草，村旁流淌的蓝色禾木河水边。禾木村是一个被白桦树 ，雪山和禾木河流包围    的美丽村庄， 自然风光原始，人迹罕至，在禾木河边摄影拍照，徒步沿栈道赴观景台观禾木村风貌，仿佛置身世外，享受被国内摄影爱   好者誉为“人间仙境 ”禾木。河从村边流淌而过，在树林中转了一个弯，继续向西奔流，汇入布尔津河。 白云朵朵，飘浮在山谷的上空 ， 阳光倏而从云层的裂隙中透出一屡金光，播撒在禾木村上，面对如此美景，感叹当年图瓦人的祖先，为躲避战乱，找到如此一片与世隔绝    的净土，定居繁衍了下来，如果陶渊明先生有幸到此，恐怕又要有一篇《桃花源记》了。后乘车浏览【阿禾公路】途观【托勒海特大草原】为北疆最大的夏牧场之一草原地处高山盆地，昼夜温差显著，降水充沛形成晨雾与云海奇观夏季水草丰茂，分布十里花海、伊列克石林等 自然景观雨后清晨可观测到佛光现象，云海翻涌时形成“云上云下双世界”的视觉奇观，后途观【通巴森林】新疆阿勒泰市通巴森林，宛  如大自然精心绘制的生态长卷。步入这片林海，层层叠叠的苍翠枝叶一眼望不到边，好似绿色浪潮从脚下涌向远方。在阳光的滋养下，山花肆  意生长，为森林增添了灵动一笔，勾勒出独有的浪漫与生机，游览结束后，前往酒店办理入住。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早餐：含；午餐：含；晚餐：含；住宿：布尔津/福海</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布尔津/福海---乌鲁木齐/昌吉（约400KM,约4.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早餐后乘车前往福海县乌伦古湖【海上魔鬼城】（含门票），地处吉力湖（乌伦古湖小海子）东岸，乌伦古河入湖口，俗称东河口。距离县城约30公 里，交通便利。站在湖口东望，距湖岸百米处，遗存着一片十分罕见的丹地貌，呈南北向，绵延十余里，坡体呈斗圆形，环绕着小海子。依次排列着情人谷   、蛇谷、断桥谷、绝情谷、九曲回肠谷、仙鹤谷、迷魂谷、神鹰谷、猎隼谷这各具特色的九大峡谷。 由于长年的风蚀雨蛀， 由此形成造型奇特的地貌景观。 有的象壮丽的宫殿，有的象神秘庄严的庙宇，有的象仰天长啸的雄狮......，维妙维肖，巧夺天工。远远望去，就象一座飘浮在水面上的城堡，因此被当地人形 象地称为“海上魔鬼城 ”。后乘车沿S21沙漠高速公路返回。公路位于古尔班通古特沙漠，新疆准噶尔盆地中央。是玛纳斯河以东及乌伦古河以南的中   国第二大沙漠， 同时也是中国面积最大的固定、半固定沙漠 ，面积大约4.88万平方公里。沙漠里冬季有较多积雪，春季融雪后，古尔班通古特沙漠特有  的短命植物迅速萌芽开花，这时，沙漠里一片草绿花鲜，繁花似锦，把沙漠装点得生机勃勃，充满诗情画意。晚抵达昌吉/乌鲁木齐入住酒店休息。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乌鲁木齐/昌吉--天池--乌鲁木齐/昌吉（单程100公里， 1.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早餐后前往参观【和田玉展览中心】,和田玉是中国四大名玉之一、是玉石中的高档玉石，而且是中国国石的候选玉石之一，是玉石 中的极品。后乘车赴亚欧大陆腹地干旱区自然景观的代表—天山天池，一段美好的神话传说，激发了古往今来多少文人墨客的无尽遐想。前往参观【西域驼绒文化馆】（ 活动时间不低于120分钟）是广州市政府援疆一个扶贫项目，拉动本土企业发展32家，带动就业人数   100余人，馆内展示有兵团建设历史，援疆企业成果，新疆本土民族乐器 ，喀什土陶，纺纱车， 民族服装，驼绒产品，新疆长绒棉等后漫  步在岁月沉淀的喀什老街上，你所能感受的，是一份经过历史沉淀的美好。后游览【天山天池风景区】 (含门票+区间车）：世界自然遗产   , 国家5A级景区 ，国家重点风景名胜区，国家地质公园，全国文明风景旅游区， 国际人与自然生物圈保护区， 中国最佳旅游去处，最佳    资源保护的中国十大风景名胜区， 中国十大魅力休闲旅游湖泊 ，以高山湖泊为中心的自然风景区，融森林、草原、雪山、人文景观为一体 , 形成别具一格的风光特色。这里雪峰倒映、云杉环拥、碧水似镜、风光如画、空气清新、清爽宜人，同时也是避暑胜地。可根据实际情况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乌鲁木齐/昌吉--吐鲁番/托克逊（ 180公里，约2小时车程）(大巴)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早餐后前往参观【和田玉博物馆】,后乘车前往参观丝绸之路上的重镇之一吐鲁番，感受浓郁的名族风情和人文特点。沿途经过全国最大的风  力发电站--达坂城风力发电站，十里盐湖。抵达吐鲁番参观【郡王府坎儿井】（含门票），坎儿井是荒漠地区一特殊灌溉系统 ，与万里长城 、京杭大运河并称为中国古代三大工程。 吐鲁番的坎儿井总数达1100多条，全长约5000公里。是古代吐鲁番各族劳动群众，根据盆地地  理条件、太阳辐射和大气环流的特点，经过长期生产实践创造出来的 ，是吐鲁番盆地利用地面坡度引用地下水的一种独具特色的地下水  利工程 。后前往西游记中的孙悟空三借芭蕉扇的【火焰山】（含门票）参观，火焰山，维吾尔语称“克孜勒塔格”，意为“红山”，唐人以 其炎热曾名为“火山”。山长100多公里，最宽处达10公里，火焰山是中国最热的地方，夏季最高气温高达摄氏47.8度，地表最高温度高达    摄氏70度以上，沙窝里可烤熟鸡蛋。赠送参观吐鲁番【维吾尔民族家访】 ，在葡萄架下品尝各类葡萄干果，欣赏维吾尔民族原生态歌舞 ， 学几句维吾尔语言，跳几步维吾尔舞蹈，与当地居民零距离接触。晚住吐鲁番市。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乌鲁木齐-天山胜利隧道-罗布人村寨(大巴)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早餐后乘车沿天山胜利隧道赴前往游览--【罗布人村寨】（含门票+区间车）村寨方圆72平方公里，有二十余户人家，是中国西部地域面积最大的村庄之一。属琼库勒牧 场，是一处罗布人居住的世外桃源，寨区涵盖【塔克拉玛干沙漠】 、游移湖泊、塔里木河、原始胡杨林 、草原和罗布人。最大沙漠 、 最长的内陆河、最大的绿色走廊和丝绸之路在这里交汇，形成了黄金品质的天然景观。中国面积最大的塔克拉玛干沙漠在景区南面，连 绵起伏，茫茫无边，汹涌澎湃。骑“沙漠之舟 ”涉沙海深处  ,看大漠风光，听驼铃遗韵，悠悠情怀，心旷神怡。晚抵达库尔勒酒店入住休 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库尔勒/和静（约370公里，约5小时车程）(大巴)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早餐后前往中国第二大草原【巴音布鲁克草原】（含门票 +区间车），巴音布鲁克草原蒙古语意为“泉源丰富 ”，于海拔约2500米， 面积22000平方公里 ，是我国第二大草原，仅次于内蒙古额尔多斯草原 ，被国家地理杂志评我国最美的湿地草原第二名。这里是天山环  抱中一块苍翠的高山盆地，地势平坦，雨雪充沛，水草丰盛，是典型禾草草甸草原，也是天山南麓最肥美的夏牧场。每当盛夏来临，巴音   布鲁克草原层峦叠翠，绿野无限，湖沼广布，羊遍野，雪莲似的蒙古包坐落其间，一片兴旺繁荣的景象。开都河的九曲十八弯，是巴音布   鲁克最美丽的景点；外迷人，尤其是日落时分，夕阳的余晖洒在每道河的河湾上 ，美丽万分。这里是有全国第一个天鹅自然保护区—鹅   湖。我们在这里寻觅珍稀鸟类的优美身姿与纯洁高雅，感受蒙古牧民的热情豪放。晚住那拉提，今天行程束。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那拉提—那拉提—六星街-伊宁市/博乐（420公里，约6小时车程）(大巴)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早餐后，乘车穿越中国最美十大公路之一的——独库公路中段（如没开通不走独库不增减团费），这里山峦耸峙、河谷狭长、云雾缭绕、风   景幽深，连草木的绿色也好像被隐藏起来，俗话说最美的风景总在路上，在天山的深处就有条公路 ，险得使人生畏，美到令人窒息。一路   穿越巩乃斯森林公园， 山花烂漫，蜂飞蝶舞，我们一起寻找传说中的那拉提的养蜂姑娘！午餐后 ,换乘区间车游览欧亚四大高山草场之一的 【那拉提空中大草原】（含门票 + 区间车），那拉提位于那拉提山北坡，地势大面积倾斜， 山泉密布 ，溪流纵横 ，独特的自然景观、悠久  的历史文化和浓郁的民族风情构成了独具特色的边塞风光。游客可以自费骑马驰骋在草原之上 。午后乘车前往伊宁市酒店入住休息 ，今   天行程结束 。前往伊宁市【六星街】 是中国塞外江南之城的新疆伊犁州伊宁市的一个古老街区 ，始建于上世纪30年代中期(1934-1936  年) ，根据当时新疆省政府推行的六大政策(反帝 、亲苏 、 民族平等 、和平 、建设 、清廉)理念， 由德国工程师瓦斯里规划设计 。伊宁市六 星街平面呈圆形 ，有六条主干道从中心向外辐射 ，把街区分成六个扇形地区， 中心为学校 、商铺等公共建筑 ，外围为居住区 ，形成一个 特色的居住模式 。 当地人民亲切的称为“ 小八卦城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w:t>
            </w:r>
          </w:p>
        </w:tc>
      </w:tr>
      <w:tr>
        <w:tc>
          <w:tcPr>
            <w:tcW w:w="2310" w:type="dxa"/>
            <w:vAlign w:val="center"/>
            <w:vMerge w:val="restart"/>
          </w:tcPr>
          <w:p>
            <w:pPr/>
            <w:r>
              <w:rPr>
                <w:lang w:val="zh-CN"/>
                <w:rFonts w:ascii="Times New Roman" w:hAnsi="Times New Roman" w:cs="Times New Roman"/>
                <w:sz w:val="20"/>
                <w:szCs w:val="20"/>
                <w:color w:val="000000"/>
              </w:rPr>
              <w:t>2026/06/02</w:t>
            </w:r>
          </w:p>
        </w:tc>
        <w:tc>
          <w:tcPr>
            <w:tcW w:w="2310" w:type="dxa"/>
            <w:gridSpan w:val="7"/>
          </w:tcPr>
          <w:p>
            <w:pPr/>
            <w:r>
              <w:rPr>
                <w:lang w:val="zh-CN"/>
                <w:rFonts w:ascii="Times New Roman" w:hAnsi="Times New Roman" w:cs="Times New Roman"/>
                <w:b/>
                <w:color w:val="000000"/>
              </w:rPr>
              <w:t>伊宁市/博乐—赛里木湖—奎屯/乌鲁木齐（约400公里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(薰衣草庄园为赠送景点,如未到花期或花期时间已过，此景点不走），这里地处天山北麓伊犁谷，与世界薰衣草原 产地法国普罗旺斯的地理位置、气候条件和土壤环境非常相似，是全世界继法国普罗旺斯、 日本富良野之后的第三大薰衣草种植基地，是中国薰衣草主   产地，有“ 中国薰衣草之乡 ”的美誉。途径果子沟是伊犁河谷的门户， 白云蓝天，雪山松树，峰回路转，风光旖旎。车游【果子沟大桥】，果子沟大桥作   为新疆第一座斜拉桥、第一高桥,是新疆最大最重要的桥梁,同时也是全国首座公路钢桁梁斜拉桥,它集新技术、新结构、新工艺、新设备 " 四新 "于一身，是我 国公路建设史上一次重大突破 。在新疆首次使用大体积混凝土温度控制技术、塔梁异步施工工艺 、液压爬膜 、 自行式移动模架等国内领先技术 ，为山  区高速公路施工积累了宝贵的经验。风光峻奇， 山花烂漫，野果飘香的果子沟全长28公里，这是我国通往中亚和欧洲的丝路北新道咽喉,被成为“铁关   ； 同时也因为它宜人的风景被誉为“伊犁第一景 ”、“奇绝仙境”。游览被号称“大西洋的最后一滴眼泪”的--【赛里木湖】（已含门票+区间车），这里  亦称三台海子，与果子沟唇齿相依，湖面海拔2073km，是新疆海拔高、面积大的高山湖，湖水浩瀚无垠、湖滨草地,绿高盈尺,湖泊四周群山环绕 ，四季白  雪皑皑，各种山花绽放遍野，一湖碧水随风变幻着迷人的色彩，赛里木湖像一颗璀璨的蓝宝石高悬于西天山之间的断陷盆地中，赛里木湖是哈萨克语，是祝愿   的意思； 因传说赛里木湖是由一对为爱殉情的年轻恋人的泪水汇集而成的，又被称为天池和乳海 。后前往奎屯/乌鲁木齐酒店入住休息，今天行程结束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w:t>
            </w:r>
          </w:p>
        </w:tc>
      </w:tr>
      <w:tr>
        <w:tc>
          <w:tcPr>
            <w:tcW w:w="2310" w:type="dxa"/>
            <w:vAlign w:val="center"/>
            <w:vMerge w:val="restart"/>
          </w:tcPr>
          <w:p>
            <w:pPr/>
            <w:r>
              <w:rPr>
                <w:lang w:val="zh-CN"/>
                <w:rFonts w:ascii="Times New Roman" w:hAnsi="Times New Roman" w:cs="Times New Roman"/>
                <w:sz w:val="20"/>
                <w:szCs w:val="20"/>
                <w:color w:val="000000"/>
              </w:rPr>
              <w:t>2026/06/03</w:t>
            </w:r>
          </w:p>
        </w:tc>
        <w:tc>
          <w:tcPr>
            <w:tcW w:w="2310" w:type="dxa"/>
            <w:gridSpan w:val="7"/>
          </w:tcPr>
          <w:p>
            <w:pPr/>
            <w:r>
              <w:rPr>
                <w:lang w:val="zh-CN"/>
                <w:rFonts w:ascii="Times New Roman" w:hAnsi="Times New Roman" w:cs="Times New Roman"/>
                <w:b/>
                <w:color w:val="000000"/>
              </w:rPr>
              <w:t>奎屯—独山子大峡谷—乌鲁木齐（约300公里，约4小时车程）(大巴)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(含门票），拥有“独库秘境 ，亿年奇观 ”之称的独山子大峡谷位于新疆克拉玛依市独山子区境内 。独山子大峡谷海拔1070米，属峡谷地貌，谷底宽100——400米，谷肩宽800——1000米，从谷底到谷肩高达200米，是全国最美公   路之一的独库公路的起始点 ，也是独库公路第一景。这一大峡谷位于荒漠戈壁之上，两边是暗灰色的裸露山体 ，给人以一种荒凉孤寂之  感 。 自然界的大峡谷基本都是由地壳运动、地质变迁所形成的 ，但独子山大峡谷却是由来自天山雪水汇成的奎屯河水历经亿万年的不 懈冲刷，硬生生地把这处平原切割成风光神奇的大峡谷 ，不得不让人赞叹大自然的神奇。后前往乌鲁木齐酒店入住休息，今天行程结 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2026/06/04</w:t>
            </w:r>
          </w:p>
        </w:tc>
        <w:tc>
          <w:tcPr>
            <w:tcW w:w="2310" w:type="dxa"/>
            <w:gridSpan w:val="7"/>
          </w:tcPr>
          <w:p>
            <w:pPr/>
            <w:r>
              <w:rPr>
                <w:lang w:val="zh-CN"/>
                <w:rFonts w:ascii="Times New Roman" w:hAnsi="Times New Roman" w:cs="Times New Roman"/>
                <w:b/>
                <w:color w:val="000000"/>
              </w:rPr>
              <w:t>乌鲁木齐-中转地-昆明(飞机)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根据您所选择的航班时间或火车时间，我们将送您前往乌鲁木齐机场或火车站，结束愉快的西域之旅！午、晚餐敬请自理。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22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罗</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2026/5/18 17:33:27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