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玉溪嗨游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孙嘉嘉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天山独伊双飞8天（散拼往返经停）</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2026-05-15 CZ6950  昆明→乌鲁木齐 17:20-23:20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2026-05-22 CZ6949  乌鲁木齐→昆明  09:55-16:1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1、刘国芬</w:t>
            </w:r>
          </w:p>
        </w:tc>
        <w:tc>
          <w:tcPr>
            <w:tcW w:w="2310" w:type="dxa"/>
            <w:vAlign w:val="center"/>
            <w:gridSpan w:val="2"/>
          </w:tcPr>
          <w:p>
            <w:pPr/>
            <w:r>
              <w:rPr>
                <w:lang w:val="zh-CN"/>
                <w:rFonts w:ascii="Times New Roman" w:hAnsi="Times New Roman" w:cs="Times New Roman"/>
                <w:sz w:val="20"/>
                <w:szCs w:val="20"/>
                <w:color w:val="000000"/>
              </w:rPr>
              <w:t>530428196812250048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2、白继华</w:t>
            </w:r>
          </w:p>
        </w:tc>
        <w:tc>
          <w:tcPr>
            <w:tcW w:w="2310" w:type="dxa"/>
            <w:vAlign w:val="center"/>
            <w:gridSpan w:val="2"/>
          </w:tcPr>
          <w:p>
            <w:pPr/>
            <w:r>
              <w:rPr>
                <w:lang w:val="zh-CN"/>
                <w:rFonts w:ascii="Times New Roman" w:hAnsi="Times New Roman" w:cs="Times New Roman"/>
                <w:sz w:val="20"/>
                <w:szCs w:val="20"/>
                <w:color w:val="000000"/>
              </w:rPr>
              <w:t>532429196609201732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3、宗桂芬</w:t>
            </w:r>
          </w:p>
        </w:tc>
        <w:tc>
          <w:tcPr>
            <w:tcW w:w="2310" w:type="dxa"/>
            <w:vAlign w:val="center"/>
            <w:gridSpan w:val="2"/>
          </w:tcPr>
          <w:p>
            <w:pPr/>
            <w:r>
              <w:rPr>
                <w:lang w:val="zh-CN"/>
                <w:rFonts w:ascii="Times New Roman" w:hAnsi="Times New Roman" w:cs="Times New Roman"/>
                <w:sz w:val="20"/>
                <w:szCs w:val="20"/>
                <w:color w:val="000000"/>
              </w:rPr>
              <w:t>532429197105112140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4、刘粉春</w:t>
            </w:r>
          </w:p>
        </w:tc>
        <w:tc>
          <w:tcPr>
            <w:tcW w:w="2310" w:type="dxa"/>
            <w:vAlign w:val="center"/>
            <w:gridSpan w:val="2"/>
          </w:tcPr>
          <w:p>
            <w:pPr/>
            <w:r>
              <w:rPr>
                <w:lang w:val="zh-CN"/>
                <w:rFonts w:ascii="Times New Roman" w:hAnsi="Times New Roman" w:cs="Times New Roman"/>
                <w:sz w:val="20"/>
                <w:szCs w:val="20"/>
                <w:color w:val="000000"/>
              </w:rPr>
              <w:t>532429196803151126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5、杨军科</w:t>
            </w:r>
          </w:p>
        </w:tc>
        <w:tc>
          <w:tcPr>
            <w:tcW w:w="2310" w:type="dxa"/>
            <w:vAlign w:val="center"/>
            <w:gridSpan w:val="2"/>
          </w:tcPr>
          <w:p>
            <w:pPr/>
            <w:r>
              <w:rPr>
                <w:lang w:val="zh-CN"/>
                <w:rFonts w:ascii="Times New Roman" w:hAnsi="Times New Roman" w:cs="Times New Roman"/>
                <w:sz w:val="20"/>
                <w:szCs w:val="20"/>
                <w:color w:val="000000"/>
              </w:rPr>
              <w:t>53242919671110113X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6、涂继琼</w:t>
            </w:r>
          </w:p>
        </w:tc>
        <w:tc>
          <w:tcPr>
            <w:tcW w:w="2310" w:type="dxa"/>
            <w:vAlign w:val="center"/>
            <w:gridSpan w:val="2"/>
          </w:tcPr>
          <w:p>
            <w:pPr/>
            <w:r>
              <w:rPr>
                <w:lang w:val="zh-CN"/>
                <w:rFonts w:ascii="Times New Roman" w:hAnsi="Times New Roman" w:cs="Times New Roman"/>
                <w:sz w:val="20"/>
                <w:szCs w:val="20"/>
                <w:color w:val="000000"/>
              </w:rPr>
              <w:t>53242919681224114X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3430.00</w:t>
            </w:r>
          </w:p>
        </w:tc>
        <w:tc>
          <w:tcPr>
            <w:tcW w:w="2310" w:type="dxa"/>
          </w:tcPr>
          <w:p>
            <w:pPr/>
            <w:r>
              <w:rPr>
                <w:lang w:val="zh-CN"/>
                <w:rFonts w:ascii="Times New Roman" w:hAnsi="Times New Roman" w:cs="Times New Roman"/>
                <w:sz w:val="20"/>
                <w:szCs w:val="20"/>
                <w:color w:val="000000"/>
              </w:rPr>
              <w:t>20580.00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总金额：贰万零伍佰捌拾元整</w:t>
            </w:r>
          </w:p>
        </w:tc>
        <w:tc>
          <w:tcPr>
            <w:tcW w:w="2310" w:type="dxa"/>
            <w:textDirection w:val="right"/>
            <w:gridSpan w:val="3"/>
          </w:tcPr>
          <w:p>
            <w:pPr/>
            <w:r>
              <w:rPr>
                <w:lang w:val="zh-CN"/>
                <w:rFonts w:ascii="Times New Roman" w:hAnsi="Times New Roman" w:cs="Times New Roman"/>
                <w:b/>
                <w:color w:val="FF0000"/>
              </w:rPr>
              <w:t>20580.00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 +区间车 ，游览时间约1h)领略古朴的罗布人民族风情，罗布人村寨位于新疆塔里木盆地东北边缘尉犁县墩阔坦乡的塔里木河河畔,它是一个集沙漠、胡杨、河流、湖泊于一体 ，是一个自然景色各异 ，生态环境优美的旅游区 ，看大漠风光，听驼铃遗韵 ，悠悠情怀 ，心旷神怡。此处有千姿百态的原始胡杨林 ，塔里木河与渭干河在这里交相辉映 ，塔克拉玛干大沙漠一望无际 ，划独木舟 、食烤鱼、操罗布泊方言的罗布民族就生长在这里。罗布人是新疆最古老的民族之一 ，他们生活在塔里木河畔的小海子边，“不种五谷；不牧牲畜唯以小舟捕鱼为食。其方言也是新疆三大方言之一 ，其民俗、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，乘车穿越中国最美十大公路之一的——独库公路中段（七座商务车.不指定车型）一路穿越蓝天白云穿行森林溪流牛羊遍.云卷云舒. 山水画卷心收眼底花香泥土芬芳的息扑鼻而来.中午抵达巴音布鲁克草原蒙古语意为泉源丰富 .位于海拔约2500米面积22000平方公里 .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那拉提空中草原-天山花海-六星街-清水河/博乐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 ，欣赏塞外江南的美丽景色。在这里 ，您可以亲身感受到“风吹草低见牛羊 ”的高山草原美丽景色 ，一片繁花织锦的莽莽草原 ，泉眼密布，流水淙淙，犹如进入了另一个世界，云开日出 ，夕阳如血。那拉提景区名列世界四大河谷草原之一 ，地势由东南向西北倾斜。原野上山泉密布 ，溪流似网，河道交错，森林繁茂，自古以来就是著名的牧场。参观【那拉提花海景区】（进景区）（不含观光塔费用） ，紫色花瓣随风摇,马鞭草溢香气飘。雪山青松白云绕 ，花田菊黄分外娇。花海那拉提是新疆自治区级休闲观光农业示范点、 国家4A级休闲观光园区。颜色各异的鲜花争奇斗艳 ，百花齐放 ，把观光园装扮成一个花的世界,   也为游客献上了一场视觉盛宴。 同时也因为它宜人的风景被誉为“伊犁第一景 ”、“奇绝仙境 ”；前往伊宁前往【六星街】 ，始建于上世纪30年代中期 ，以其独特的六角形街巷而闻名 ，其格局与中国传统的城市规划理念有很大不同。街区平面呈圆形 ，有6条主干道从中心向外辐射 ，把街区分成6个扇形地区 ，中心为学校、商铺等公共建筑 ，外围为居住区 ，形成了独具特色的居住模式 ，从空中俯瞰街区呈六边形。据考证 ，六星街街区布局与19世纪未现代城市规划先驱比尼泽霍华德提出的田园城市理论(1898年)有着极其相似之处。随着六星街田园城市风情小镇的不断提升和完善 ，街区的知名度也越来越高。许多游客幕名而来 ，观光、休闲、拍照、游玩 ，感受多民族文化风情。前往清水河或霍城等地入住酒店。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早餐：含；午餐：含；晚餐：含；住宿：清水河/博乐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早餐后乘车前往被号称“大西洋的最后一滴眼泪”的--【赛里木湖】 (门票已含+ 区间车)这里亦称三台海子 ，与果子沟唇齿相依 ，湖面海拔2073km ，是新疆海拔高面积大的高山湖湖水浩瀚无垠、湖滨草地,绿高盈尺,湖泊四周群山环绕,四季白雪皑皑 ，各种山花绽放遍野  , 一湖碧水随风变幻着迷人的色彩,赛里木湖像一颗璀璨的蓝宝石高悬于西天山之间的断陷盆地中 ，赛里木湖是哈萨克语 ，是祝愿的意思；因传说赛里木湖是由一对为爱殉情的年轻恋人晚前往呼图壁等地入住酒店。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和田玉在我国至少也有3000多年的悠久历史 ， 是中华民族文化宝库中的珍贵遗产和艺术瑰宝 ， 具有极其深厚的文化底蕴 。 我 国是世界历 史上惟 一将玉与人 性化相 共融的 国家 。 如今 这种玩玉戴玉的习惯也一直在延续 ，遇到过许多 已为人父母 的顾 客 ，千挑万选只为给儿女选一块值得 戴一生的好玉 。现时兴的首饰虽美，却总经不起时间的考验 ，但玉只会越戴越润越戴越美。前往【新疆棉花店】（不低于180分钟） 后乘车前往“人间瑶池【天山天池风景区】（含门票 +区间车) ，天池是中国新疆维吾尔自治区著湖泊,在博格达峰北坡山腰 。湖面海拔1910米 ，南北长3. 5公里.东西宽0.8～ 1. 5公里 ，最深处103米。天池成因有古冰蚀-终碛堰塞湖和山崩滑坡堰塞湖两说。游览石门一线、西小天池、大天池、定海神针、东小天池、南山望雪.西山观松 。观赏雪峰倒映 ，湖水清绿的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昌吉或乌鲁木齐-乌鲁木齐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 悠久历 史是中华民族 文 化宝 库中的 珍贵 遗产 和艺 术 瑰宝 具有 极 其深 厚的文化 底蕴是世 界历 史上 惟 一将 玉与 人 性化 相共融的国家 。 如今这种 玩玉戴玉的习 惯也 一直在延续 ， 遇到过许多已为人父母的顾客， 千挑万选只为给儿女选一块值得戴一生的好玉。现时兴的首饰虽美 ，却总经不起时间的考验 ，但玉只会越戴越润 ，越戴越美。前往西游记中的孙悟空三借芭蕉扇【芭蕉扇火焰山】含门票 ，游览约40分钟参观火焰山 , 维吾尔语称克孜勒塔格 ，意为“ 红山” ，唐人以其炎热曾名为“ 火山“ 。 山长100多公里,最宽处达10公里火焰山是中国最热的地方夏季最高气温高达摄氏47. 8地表最高温度高达摄氏70度以上沙窝里可烤熟鸡蛋后前【库木塔格沙漠】无情多变 的 沙漠掩埋吞没了数不清的古代文明 ， 唯独在鄯善县城脚下嘎然而止， 停下了肆虐的脚步 。往北看 ，远处是绿色的城市， 向南看， 眼前就是库木塔格沙漠高耸着的沙山 。站在绿洲与大漠的结合处， 眼前奇异的景致让人惊叹， 一边是莽莽苍苍 、雄浑博大 、无边无际的大漠海洋；一边是郁郁葱葱 、 娟秀妩媚的绿洲碧野 。 吐鲁番【郡王府坎儿井】 （含门票 ，游览约40分钟） 坎儿井是荒漠地区一特殊灌溉系统 ，与万里长城、京杭大运河并称为中国古代三大工程 ，后【维吾尔族家访】(赠送项目如遇特殊情况费用不退） ，在葡萄架下品尝的香甜的瓜果 ，和当地人一起载歌载舞， 岂不美哉！返回乌鲁木齐入住酒店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乌鲁木齐-- 送机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早餐后根据航班时间乘机返回昆明结束愉快的新疆之旅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交通：昆明/乌鲁木齐/昆明往返机票经济舱含税；旅游用车：目的地豪华2+1空调旅游车（根据具体人数安排相应的车辆，每人一正座）2.旅游住宿：全程入住当地四星，升级2晚当地五星酒店；酒店不提供三人间或加床(成人不允许不占床；单房差自理）3.旅游用餐：全程含12正餐7早餐.正餐餐标40元/人（酒店含早，八菜一汤，十人一桌,不吃不退，20人以上赠送新疆风烤全羊）如人数不足十人将根据实际人数酌情安排用餐；酒店含早；（所有团队餐不用不退）。4.景点门票：包含行程所列首道景点门票及区间车，景点门票报价已为旅行社团队折扣价故行程景点门票对所有证件（如学生证教师证、军官证、老年证等证件等）均不再享受任何优惠政策。其优惠价格及门票未产生的一概不予退还。赠送项目若无法参观或客放弃游览的所有费用不退不免！不做等价交换！5.导游服务：当地中文导游服务、持全国导游资格证上岗:（人数不足10人，不提供导游服务，司机提供简单讲解及服务）6.儿童标准：2-11周岁儿童报价只含车费、半价餐费、不含其他门票不含床位费（早餐费用现付），如身高超高产生门票及其他费用由家长现付；小孩请携带户口本本人页原件7.旅游保险：含旅行社责任险；8.旅游购物：全程进3个购物店（主营玉石、玉器，每店不少于180分钟，景区或酒店必经购物场所不属旅行社安排，不保证售后服务不协助退换货，购买请慎重）</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关于游客意见单反馈单的特别声明(1)游客意见反馈单作为当地接待质量的唯一标准，请游客一定认真填写。游客的投诉诉求必须以在新疆当地解决，以游客自行填写的意见单为主要依据，其他的诉求理由我社不予受理。恕不受理客人虚填或不填意见书或在新疆当地填的很好，回家后再无理投诉而产生的后续争议。（特别是回去后说意见单照顾导游面子或怕导游威逼利诱而虚填的任何投诉）。(2)签署意见单，确实代表本人真实意愿，如有胁迫等因素可直接拨打应急联系人电话处理意见,直至接待问题全部处理完毕。旅行社不受理返回后的任何投诉。2.由于此产品为跟团打包价提前预定产品.故游客因个人原因（包括身体疾病）取消行程或者取消行程中的部分项目.费用不退不免，不做等价交换。行程途中不可离团，否则我们视为自动放弃行程，立即终止合同。无法提供后续服务，包括返程的交通也无法提供！行程游览景点顺序可根据实际情况的变化而调整游览次序及时间。但不减少景点，我社保留调整权。3、如当日收客人数不足10人，司机兼导游；4、因交通延误、航班取消、罢工、天气、自然灾害、政府政策性调价等不可抗拒的因素导致行程延误及变更,产生额外的费用，请客人自行承担。5、由于新疆地处最西北，山区高海拔多、夏季天气干燥炎热，景区距离车程时间长，且路途颠簸，不建议75岁以上老人参团，如要参团，需有45-68岁之间年龄段家属1带1陪同方可接待，如无家属陪同，需提供三级甲等医院近一周内身体健康证明书、按成本操作，必须填写《参团免责声明》，直系亲属签字确认，如故意隐瞒真实情况,后果责任自行负责；6、如出现单男单女，我社有权安排标间加床或三人间，如客人不同意请补足房差。7、儿童1.2米以下（含旅游车位、餐位、产生其他费用全部自理），儿童超过1.2米以上同成人。8、如因客人自身原因误机或火车，损失请客人自负，本公司不做任何赔偿。9、因客人自身原因或人力不可抗拒因素或遇政策性调整导致机票、车费、门票价格等行程中的费用增加由客人自己承担，我社不承担此费用，如因客人自身原因造成景点未参观或行程所含餐未用,不予退还；10、标注的酒店如遇政府会议征用无法安排入住，我社只承诺按同档次同价位酒店安排。11、组团社与游客之间务必签署由我社提供的《补充协议》、游客在旅游行程中和自由活动期间，因为自身原因擅自离团或退团，视为违约在先，我公司有权终止后续的一切旅游接待服务，不退任何剩余的费用及赠送项目费用，并需要补齐实际产生的成本费用，游客退团后所产生的一切费用和人身及财产意外与我公司无任何责任关系。12、新疆地域广阔，不可复制的景点、活动较多，行万里路，为不留遗憾，我社将特色景点及活动作为推荐自费项目罗列。客人可根据兴趣及自身条件自愿自选参加。同车游客有50%以上同意参加行程内推荐的自费项目,并经客人签字同意，导游方可陪同大部分游客前往。个别如因（已参加过、条件限制、不感兴趣等原因）不参加的,经客人同意签字由导游妥善安排休息或自由活动。在休息点或景点门口按约定时间等候其它客人。13、此产品受新疆维吾尔自治区旅游局、各景区大力支持，门票已享受最优惠政策，在旅游过程中，如未产生的门票，我社不予退款；持有特殊证件的游客.如老年证、导游证、经理资格证、军官证、学生证等等证件，均不可再次享受门票优惠或退费政策；此行程未产生的门票.用餐.住宿.车费等所有一切费用，一律不退14、出行前请检查购买飞机票及火车票所使用的身份证件是否在有效期内，若因自身原因造成成行由旅游者自行承担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孙嘉嘉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9:37:22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