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云栖旅游蒲总</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13308806731</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XJ515TR260515A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全景新疆双卧15天（刘治）</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2026-05-31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23(23大)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1、杨坤</w:t>
            </w:r>
          </w:p>
        </w:tc>
        <w:tc>
          <w:tcPr>
            <w:tcW w:w="2310" w:type="dxa"/>
            <w:vAlign w:val="center"/>
            <w:gridSpan w:val="2"/>
          </w:tcPr>
          <w:p>
            <w:pPr/>
            <w:r>
              <w:rPr>
                <w:lang w:val="zh-CN"/>
                <w:rFonts w:ascii="Times New Roman" w:hAnsi="Times New Roman" w:cs="Times New Roman"/>
                <w:sz w:val="20"/>
                <w:szCs w:val="20"/>
                <w:color w:val="000000"/>
              </w:rPr>
              <w:t>530121196312280012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2、李惠媛</w:t>
            </w:r>
          </w:p>
        </w:tc>
        <w:tc>
          <w:tcPr>
            <w:tcW w:w="2310" w:type="dxa"/>
            <w:vAlign w:val="center"/>
            <w:gridSpan w:val="2"/>
          </w:tcPr>
          <w:p>
            <w:pPr/>
            <w:r>
              <w:rPr>
                <w:lang w:val="zh-CN"/>
                <w:rFonts w:ascii="Times New Roman" w:hAnsi="Times New Roman" w:cs="Times New Roman"/>
                <w:sz w:val="20"/>
                <w:szCs w:val="20"/>
                <w:color w:val="000000"/>
              </w:rPr>
              <w:t>530121196907170023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3、李会梅</w:t>
            </w:r>
          </w:p>
        </w:tc>
        <w:tc>
          <w:tcPr>
            <w:tcW w:w="2310" w:type="dxa"/>
            <w:vAlign w:val="center"/>
            <w:gridSpan w:val="2"/>
          </w:tcPr>
          <w:p>
            <w:pPr/>
            <w:r>
              <w:rPr>
                <w:lang w:val="zh-CN"/>
                <w:rFonts w:ascii="Times New Roman" w:hAnsi="Times New Roman" w:cs="Times New Roman"/>
                <w:sz w:val="20"/>
                <w:szCs w:val="20"/>
                <w:color w:val="000000"/>
              </w:rPr>
              <w:t>530121197412151829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4、李会芝</w:t>
            </w:r>
          </w:p>
        </w:tc>
        <w:tc>
          <w:tcPr>
            <w:tcW w:w="2310" w:type="dxa"/>
            <w:vAlign w:val="center"/>
            <w:gridSpan w:val="2"/>
          </w:tcPr>
          <w:p>
            <w:pPr/>
            <w:r>
              <w:rPr>
                <w:lang w:val="zh-CN"/>
                <w:rFonts w:ascii="Times New Roman" w:hAnsi="Times New Roman" w:cs="Times New Roman"/>
                <w:sz w:val="20"/>
                <w:szCs w:val="20"/>
                <w:color w:val="000000"/>
              </w:rPr>
              <w:t>530121196510261824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5、张树华</w:t>
            </w:r>
          </w:p>
        </w:tc>
        <w:tc>
          <w:tcPr>
            <w:tcW w:w="2310" w:type="dxa"/>
            <w:vAlign w:val="center"/>
            <w:gridSpan w:val="2"/>
          </w:tcPr>
          <w:p>
            <w:pPr/>
            <w:r>
              <w:rPr>
                <w:lang w:val="zh-CN"/>
                <w:rFonts w:ascii="Times New Roman" w:hAnsi="Times New Roman" w:cs="Times New Roman"/>
                <w:sz w:val="20"/>
                <w:szCs w:val="20"/>
                <w:color w:val="000000"/>
              </w:rPr>
              <w:t>530111196309210416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6、林文菊</w:t>
            </w:r>
          </w:p>
        </w:tc>
        <w:tc>
          <w:tcPr>
            <w:tcW w:w="2310" w:type="dxa"/>
            <w:vAlign w:val="center"/>
            <w:gridSpan w:val="2"/>
          </w:tcPr>
          <w:p>
            <w:pPr/>
            <w:r>
              <w:rPr>
                <w:lang w:val="zh-CN"/>
                <w:rFonts w:ascii="Times New Roman" w:hAnsi="Times New Roman" w:cs="Times New Roman"/>
                <w:sz w:val="20"/>
                <w:szCs w:val="20"/>
                <w:color w:val="000000"/>
              </w:rPr>
              <w:t>530103196606072523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7、缪存德</w:t>
            </w:r>
          </w:p>
        </w:tc>
        <w:tc>
          <w:tcPr>
            <w:tcW w:w="2310" w:type="dxa"/>
            <w:vAlign w:val="center"/>
            <w:gridSpan w:val="2"/>
          </w:tcPr>
          <w:p>
            <w:pPr/>
            <w:r>
              <w:rPr>
                <w:lang w:val="zh-CN"/>
                <w:rFonts w:ascii="Times New Roman" w:hAnsi="Times New Roman" w:cs="Times New Roman"/>
                <w:sz w:val="20"/>
                <w:szCs w:val="20"/>
                <w:color w:val="000000"/>
              </w:rPr>
              <w:t>530112195706031616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8、郑永辉</w:t>
            </w:r>
          </w:p>
        </w:tc>
        <w:tc>
          <w:tcPr>
            <w:tcW w:w="2310" w:type="dxa"/>
            <w:vAlign w:val="center"/>
            <w:gridSpan w:val="2"/>
          </w:tcPr>
          <w:p>
            <w:pPr/>
            <w:r>
              <w:rPr>
                <w:lang w:val="zh-CN"/>
                <w:rFonts w:ascii="Times New Roman" w:hAnsi="Times New Roman" w:cs="Times New Roman"/>
                <w:sz w:val="20"/>
                <w:szCs w:val="20"/>
                <w:color w:val="000000"/>
              </w:rPr>
              <w:t>530112195911031623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9、杨黎红</w:t>
            </w:r>
          </w:p>
        </w:tc>
        <w:tc>
          <w:tcPr>
            <w:tcW w:w="2310" w:type="dxa"/>
            <w:vAlign w:val="center"/>
            <w:gridSpan w:val="2"/>
          </w:tcPr>
          <w:p>
            <w:pPr/>
            <w:r>
              <w:rPr>
                <w:lang w:val="zh-CN"/>
                <w:rFonts w:ascii="Times New Roman" w:hAnsi="Times New Roman" w:cs="Times New Roman"/>
                <w:sz w:val="20"/>
                <w:szCs w:val="20"/>
                <w:color w:val="000000"/>
              </w:rPr>
              <w:t>530111196901307209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10、杨继红</w:t>
            </w:r>
          </w:p>
        </w:tc>
        <w:tc>
          <w:tcPr>
            <w:tcW w:w="2310" w:type="dxa"/>
            <w:vAlign w:val="center"/>
            <w:gridSpan w:val="2"/>
          </w:tcPr>
          <w:p>
            <w:pPr/>
            <w:r>
              <w:rPr>
                <w:lang w:val="zh-CN"/>
                <w:rFonts w:ascii="Times New Roman" w:hAnsi="Times New Roman" w:cs="Times New Roman"/>
                <w:sz w:val="20"/>
                <w:szCs w:val="20"/>
                <w:color w:val="000000"/>
              </w:rPr>
              <w:t>530111196401017205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11、龚丽萍</w:t>
            </w:r>
          </w:p>
        </w:tc>
        <w:tc>
          <w:tcPr>
            <w:tcW w:w="2310" w:type="dxa"/>
            <w:vAlign w:val="center"/>
            <w:gridSpan w:val="2"/>
          </w:tcPr>
          <w:p>
            <w:pPr/>
            <w:r>
              <w:rPr>
                <w:lang w:val="zh-CN"/>
                <w:rFonts w:ascii="Times New Roman" w:hAnsi="Times New Roman" w:cs="Times New Roman"/>
                <w:sz w:val="20"/>
                <w:szCs w:val="20"/>
                <w:color w:val="000000"/>
              </w:rPr>
              <w:t>530111196501282620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12、杨继华</w:t>
            </w:r>
          </w:p>
        </w:tc>
        <w:tc>
          <w:tcPr>
            <w:tcW w:w="2310" w:type="dxa"/>
            <w:vAlign w:val="center"/>
            <w:gridSpan w:val="2"/>
          </w:tcPr>
          <w:p>
            <w:pPr/>
            <w:r>
              <w:rPr>
                <w:lang w:val="zh-CN"/>
                <w:rFonts w:ascii="Times New Roman" w:hAnsi="Times New Roman" w:cs="Times New Roman"/>
                <w:sz w:val="20"/>
                <w:szCs w:val="20"/>
                <w:color w:val="000000"/>
              </w:rPr>
              <w:t>530111196804032629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13、李华荣</w:t>
            </w:r>
          </w:p>
        </w:tc>
        <w:tc>
          <w:tcPr>
            <w:tcW w:w="2310" w:type="dxa"/>
            <w:vAlign w:val="center"/>
            <w:gridSpan w:val="2"/>
          </w:tcPr>
          <w:p>
            <w:pPr/>
            <w:r>
              <w:rPr>
                <w:lang w:val="zh-CN"/>
                <w:rFonts w:ascii="Times New Roman" w:hAnsi="Times New Roman" w:cs="Times New Roman"/>
                <w:sz w:val="20"/>
                <w:szCs w:val="20"/>
                <w:color w:val="000000"/>
              </w:rPr>
              <w:t>530111197204020629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14、李竹仙</w:t>
            </w:r>
          </w:p>
        </w:tc>
        <w:tc>
          <w:tcPr>
            <w:tcW w:w="2310" w:type="dxa"/>
            <w:vAlign w:val="center"/>
            <w:gridSpan w:val="2"/>
          </w:tcPr>
          <w:p>
            <w:pPr/>
            <w:r>
              <w:rPr>
                <w:lang w:val="zh-CN"/>
                <w:rFonts w:ascii="Times New Roman" w:hAnsi="Times New Roman" w:cs="Times New Roman"/>
                <w:sz w:val="20"/>
                <w:szCs w:val="20"/>
                <w:color w:val="000000"/>
              </w:rPr>
              <w:t>530111196602272341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15、杨玉仙</w:t>
            </w:r>
          </w:p>
        </w:tc>
        <w:tc>
          <w:tcPr>
            <w:tcW w:w="2310" w:type="dxa"/>
            <w:vAlign w:val="center"/>
            <w:gridSpan w:val="2"/>
          </w:tcPr>
          <w:p>
            <w:pPr/>
            <w:r>
              <w:rPr>
                <w:lang w:val="zh-CN"/>
                <w:rFonts w:ascii="Times New Roman" w:hAnsi="Times New Roman" w:cs="Times New Roman"/>
                <w:sz w:val="20"/>
                <w:szCs w:val="20"/>
                <w:color w:val="000000"/>
              </w:rPr>
              <w:t>530111196807170429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16、赵云祥</w:t>
            </w:r>
          </w:p>
        </w:tc>
        <w:tc>
          <w:tcPr>
            <w:tcW w:w="2310" w:type="dxa"/>
            <w:vAlign w:val="center"/>
            <w:gridSpan w:val="2"/>
          </w:tcPr>
          <w:p>
            <w:pPr/>
            <w:r>
              <w:rPr>
                <w:lang w:val="zh-CN"/>
                <w:rFonts w:ascii="Times New Roman" w:hAnsi="Times New Roman" w:cs="Times New Roman"/>
                <w:sz w:val="20"/>
                <w:szCs w:val="20"/>
                <w:color w:val="000000"/>
              </w:rPr>
              <w:t>530111196409170415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17、赵丽琳</w:t>
            </w:r>
          </w:p>
        </w:tc>
        <w:tc>
          <w:tcPr>
            <w:tcW w:w="2310" w:type="dxa"/>
            <w:vAlign w:val="center"/>
            <w:gridSpan w:val="2"/>
          </w:tcPr>
          <w:p>
            <w:pPr/>
            <w:r>
              <w:rPr>
                <w:lang w:val="zh-CN"/>
                <w:rFonts w:ascii="Times New Roman" w:hAnsi="Times New Roman" w:cs="Times New Roman"/>
                <w:sz w:val="20"/>
                <w:szCs w:val="20"/>
                <w:color w:val="000000"/>
              </w:rPr>
              <w:t>530111198611200429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18、赵子均</w:t>
            </w:r>
          </w:p>
        </w:tc>
        <w:tc>
          <w:tcPr>
            <w:tcW w:w="2310" w:type="dxa"/>
            <w:vAlign w:val="center"/>
            <w:gridSpan w:val="2"/>
          </w:tcPr>
          <w:p>
            <w:pPr/>
            <w:r>
              <w:rPr>
                <w:lang w:val="zh-CN"/>
                <w:rFonts w:ascii="Times New Roman" w:hAnsi="Times New Roman" w:cs="Times New Roman"/>
                <w:sz w:val="20"/>
                <w:szCs w:val="20"/>
                <w:color w:val="000000"/>
              </w:rPr>
              <w:t>530111198709062319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19、牛丽琼</w:t>
            </w:r>
          </w:p>
        </w:tc>
        <w:tc>
          <w:tcPr>
            <w:tcW w:w="2310" w:type="dxa"/>
            <w:vAlign w:val="center"/>
            <w:gridSpan w:val="2"/>
          </w:tcPr>
          <w:p>
            <w:pPr/>
            <w:r>
              <w:rPr>
                <w:lang w:val="zh-CN"/>
                <w:rFonts w:ascii="Times New Roman" w:hAnsi="Times New Roman" w:cs="Times New Roman"/>
                <w:sz w:val="20"/>
                <w:szCs w:val="20"/>
                <w:color w:val="000000"/>
              </w:rPr>
              <w:t>530111196506202327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20、陈策</w:t>
            </w:r>
          </w:p>
        </w:tc>
        <w:tc>
          <w:tcPr>
            <w:tcW w:w="2310" w:type="dxa"/>
            <w:vAlign w:val="center"/>
            <w:gridSpan w:val="2"/>
          </w:tcPr>
          <w:p>
            <w:pPr/>
            <w:r>
              <w:rPr>
                <w:lang w:val="zh-CN"/>
                <w:rFonts w:ascii="Times New Roman" w:hAnsi="Times New Roman" w:cs="Times New Roman"/>
                <w:sz w:val="20"/>
                <w:szCs w:val="20"/>
                <w:color w:val="000000"/>
              </w:rPr>
              <w:t>530102196512242716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21、张凤莲</w:t>
            </w:r>
          </w:p>
        </w:tc>
        <w:tc>
          <w:tcPr>
            <w:tcW w:w="2310" w:type="dxa"/>
            <w:vAlign w:val="center"/>
            <w:gridSpan w:val="2"/>
          </w:tcPr>
          <w:p>
            <w:pPr/>
            <w:r>
              <w:rPr>
                <w:lang w:val="zh-CN"/>
                <w:rFonts w:ascii="Times New Roman" w:hAnsi="Times New Roman" w:cs="Times New Roman"/>
                <w:sz w:val="20"/>
                <w:szCs w:val="20"/>
                <w:color w:val="000000"/>
              </w:rPr>
              <w:t>530111197006123221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22、李润</w:t>
            </w:r>
          </w:p>
        </w:tc>
        <w:tc>
          <w:tcPr>
            <w:tcW w:w="2310" w:type="dxa"/>
            <w:vAlign w:val="center"/>
            <w:gridSpan w:val="2"/>
          </w:tcPr>
          <w:p>
            <w:pPr/>
            <w:r>
              <w:rPr>
                <w:lang w:val="zh-CN"/>
                <w:rFonts w:ascii="Times New Roman" w:hAnsi="Times New Roman" w:cs="Times New Roman"/>
                <w:sz w:val="20"/>
                <w:szCs w:val="20"/>
                <w:color w:val="000000"/>
              </w:rPr>
              <w:t>530102195402150752</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23</w:t>
            </w:r>
          </w:p>
        </w:tc>
        <w:tc>
          <w:tcPr>
            <w:tcW w:w="2310" w:type="dxa"/>
          </w:tcPr>
          <w:p>
            <w:pPr/>
            <w:r>
              <w:rPr>
                <w:lang w:val="zh-CN"/>
                <w:rFonts w:ascii="Times New Roman" w:hAnsi="Times New Roman" w:cs="Times New Roman"/>
                <w:sz w:val="20"/>
                <w:szCs w:val="20"/>
                <w:color w:val="000000"/>
              </w:rPr>
              <w:t>3380.00</w:t>
            </w:r>
          </w:p>
        </w:tc>
        <w:tc>
          <w:tcPr>
            <w:tcW w:w="2310" w:type="dxa"/>
          </w:tcPr>
          <w:p>
            <w:pPr/>
            <w:r>
              <w:rPr>
                <w:lang w:val="zh-CN"/>
                <w:rFonts w:ascii="Times New Roman" w:hAnsi="Times New Roman" w:cs="Times New Roman"/>
                <w:sz w:val="20"/>
                <w:szCs w:val="20"/>
                <w:color w:val="000000"/>
              </w:rPr>
              <w:t>77740.00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退票手续费</w:t>
            </w:r>
          </w:p>
        </w:tc>
        <w:tc>
          <w:tcPr>
            <w:tcW w:w="2310" w:type="dxa"/>
          </w:tcPr>
          <w:p>
            <w:pPr/>
            <w:r>
              <w:rPr>
                <w:lang w:val="zh-CN"/>
                <w:rFonts w:ascii="Times New Roman" w:hAnsi="Times New Roman" w:cs="Times New Roman"/>
                <w:sz w:val="20"/>
                <w:szCs w:val="20"/>
                <w:color w:val="000000"/>
              </w:rPr>
              <w:t>16</w:t>
            </w:r>
          </w:p>
        </w:tc>
        <w:tc>
          <w:tcPr>
            <w:tcW w:w="2310" w:type="dxa"/>
          </w:tcPr>
          <w:p>
            <w:pPr/>
            <w:r>
              <w:rPr>
                <w:lang w:val="zh-CN"/>
                <w:rFonts w:ascii="Times New Roman" w:hAnsi="Times New Roman" w:cs="Times New Roman"/>
                <w:sz w:val="20"/>
                <w:szCs w:val="20"/>
                <w:color w:val="000000"/>
              </w:rPr>
              <w:t>60.00</w:t>
            </w:r>
          </w:p>
        </w:tc>
        <w:tc>
          <w:tcPr>
            <w:tcW w:w="2310" w:type="dxa"/>
          </w:tcPr>
          <w:p>
            <w:pPr/>
            <w:r>
              <w:rPr>
                <w:lang w:val="zh-CN"/>
                <w:rFonts w:ascii="Times New Roman" w:hAnsi="Times New Roman" w:cs="Times New Roman"/>
                <w:sz w:val="20"/>
                <w:szCs w:val="20"/>
                <w:color w:val="000000"/>
              </w:rPr>
              <w:t>960.00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升级软卧</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700.00</w:t>
            </w:r>
          </w:p>
        </w:tc>
        <w:tc>
          <w:tcPr>
            <w:tcW w:w="2310" w:type="dxa"/>
          </w:tcPr>
          <w:p>
            <w:pPr/>
            <w:r>
              <w:rPr>
                <w:lang w:val="zh-CN"/>
                <w:rFonts w:ascii="Times New Roman" w:hAnsi="Times New Roman" w:cs="Times New Roman"/>
                <w:sz w:val="20"/>
                <w:szCs w:val="20"/>
                <w:color w:val="000000"/>
              </w:rPr>
              <w:t>2800.00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去程牛丽琼、陈策升级软卧上</w:t>
            </w:r>
          </w:p>
        </w:tc>
        <w:tc>
          <w:tcPr>
            <w:tcW w:w="2310" w:type="dxa"/>
          </w:tcPr>
          <w:p>
            <w:pPr/>
            <w:r>
              <w:rPr>
                <w:lang w:val="zh-CN"/>
                <w:rFonts w:ascii="Times New Roman" w:hAnsi="Times New Roman" w:cs="Times New Roman"/>
                <w:sz w:val="20"/>
                <w:szCs w:val="20"/>
                <w:color w:val="000000"/>
              </w:rPr>
              <w:t>8</w:t>
            </w:r>
          </w:p>
        </w:tc>
        <w:tc>
          <w:tcPr>
            <w:tcW w:w="2310" w:type="dxa"/>
          </w:tcPr>
          <w:p>
            <w:pPr/>
            <w:r>
              <w:rPr>
                <w:lang w:val="zh-CN"/>
                <w:rFonts w:ascii="Times New Roman" w:hAnsi="Times New Roman" w:cs="Times New Roman"/>
                <w:sz w:val="20"/>
                <w:szCs w:val="20"/>
                <w:color w:val="000000"/>
              </w:rPr>
              <w:t>350.00</w:t>
            </w:r>
          </w:p>
        </w:tc>
        <w:tc>
          <w:tcPr>
            <w:tcW w:w="2310" w:type="dxa"/>
          </w:tcPr>
          <w:p>
            <w:pPr/>
            <w:r>
              <w:rPr>
                <w:lang w:val="zh-CN"/>
                <w:rFonts w:ascii="Times New Roman" w:hAnsi="Times New Roman" w:cs="Times New Roman"/>
                <w:sz w:val="20"/>
                <w:szCs w:val="20"/>
                <w:color w:val="000000"/>
              </w:rPr>
              <w:t>2800.00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总金额：捌万肆仟叁佰元整</w:t>
            </w:r>
          </w:p>
        </w:tc>
        <w:tc>
          <w:tcPr>
            <w:tcW w:w="2310" w:type="dxa"/>
            <w:textDirection w:val="right"/>
            <w:gridSpan w:val="3"/>
          </w:tcPr>
          <w:p>
            <w:pPr/>
            <w:r>
              <w:rPr>
                <w:lang w:val="zh-CN"/>
                <w:rFonts w:ascii="Times New Roman" w:hAnsi="Times New Roman" w:cs="Times New Roman"/>
                <w:b/>
                <w:color w:val="FF0000"/>
              </w:rPr>
              <w:t>84300.00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昆明-乌鲁木齐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2026/05/19</w:t>
            </w:r>
          </w:p>
        </w:tc>
        <w:tc>
          <w:tcPr>
            <w:tcW w:w="2310" w:type="dxa"/>
            <w:gridSpan w:val="7"/>
          </w:tcPr>
          <w:p>
            <w:pPr/>
            <w:r>
              <w:rPr>
                <w:lang w:val="zh-CN"/>
                <w:rFonts w:ascii="Times New Roman" w:hAnsi="Times New Roman" w:cs="Times New Roman"/>
                <w:b/>
                <w:color w:val="000000"/>
              </w:rPr>
              <w:t>和静-巴音布鲁克草原-独库公路中段-新源县/那拉提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酒店享用早餐；经天山隧道前往罗布人村寨 ，天山隧道是世界最长高速公路隧道— ，抵达【罗布人村寨】（约3小时左右） ，中国面积最大的塔克拉玛干沙漠在景区南面 ，连绵起伏 ，茫茫无边。是中国最大的沙漠 ，也是世界第十大沙漠、世界第二大流动沙漠。在这里 ，您可以尽情摆拍打卡、骑骆驼、滑沙、坐“大脚怪”体验沙海“冲浪”刺激的游客有很多。（费用自理）后前往和静入住。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早餐：含；午餐：含；晚餐：含；住宿：源县/那拉提</w:t>
            </w:r>
          </w:p>
        </w:tc>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和静-那拉提空中草原-新源县</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酒店享用早后；前往【巴音布鲁克草原】 ，一路穿越蓝天白云 ，穿行森林溪流 ，牛羊遍野 ，云卷云舒， 山水画卷心收眼底 ，花香泥土芬芳的息扑鼻而来 ，抵达巴音布鲁克草原蒙古语意为“泉源丰富” ，这是我国第二大草原 ，仅次于内蒙古额尔多斯草原 ，被国家地理杂志评为我国最美的湿地草原第二名。这里是天山环抱中一块苍翠的高山盆地 ，地势平坦 ，雨雪充沛 ，水草丰盛 ，是典型的禾草草甸草原 ，也是天山南麓最肥美的夏牧场。每当盛夏来临， 巴音布鲁克草原层峦叠翠 ，绿野无限，湖沼广布，牛羊遍野 ，雪莲似的蒙古包坐落其间，一片兴旺繁荣的景象。开都河的九曲十八弯，是巴音布鲁克最美丽的景点；分外迷人 ，尤其是日落时分 ，夕阳的余晖洒在每道河的河湾上 ，美丽万分。这里是有全国第一个天鹅自然保护区—天鹅湖。我们在这里寻觅珍稀鸟类的优美身姿与纯洁高雅 ，感受蒙古牧民的热情豪放。前往那拉提 ，入住酒店。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早餐：含；午餐：含；晚餐：含；住宿：新源县</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那拉提-那拉提空中草原-六星街-清水河</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酒店享用早后；乘车前往欣赏茫茫【那拉提空中草原】成群牛羊 ，青山绿水 ，欣赏塞外江南的美丽景色。在这里 ，您可以亲身感受到“风吹草低见牛羊”的高山草原美丽景色 ，一片繁花织锦的莽莽草原 ，泉眼密布 ，流水淙淙 ，犹如进入了另一个世界 ，云开日出 ，夕阳如血。那拉提景区名列世界四大河谷草原之一 ，地势由东南向西北倾斜。原野上山泉密布 ，溪流似网 ，河道交错 ，森林繁茂， 自古以来就是著名的牧场。【六星街】六星街始建于上世纪30年代中期，由德国工程师瓦斯里规划设计。街区平面呈圆形，有6条主干道从中心向外辐射 ，把街区分成6个扇形地区 ，如果从空中俯视 ，整个六星街有点像蜘蛛网的形状。这里是多民族聚居、多元文化的交汇地 ，六星街则见证了外来文化和本地文化结合的奇特的文化共生现象。 目前 ，六星街已进入“全国非遗与旅游融合发展优选项目名录” ，这里包括特色街巷观光、文化展示、庭院旅游、特色餐饮娱乐、工艺品加工与零售等在内为一体的环境优美、安定和谐、充满活力的大型人文旅游景区。后乘车前往伊宁/清水河镇入住。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早餐：含；午餐：含；晚餐：含；住宿：清水河</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清水河-果子沟-赛里木湖景区-奎屯市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酒店享用早餐 ，后经【果子沟大桥】前往赛里木湖 ，横跨在风景如画的果子沟大桥上 ，可以俯瞰到壮丽的自然景观 ，包括连绵的群山和深邃的峡谷。被号称为“大西洋的最后一滴眼泪”的--【赛里木湖】（游览时间约2小时）这里亦称三台海子 ，与果子沟唇齿相依 ，湖面海拔2073km ，是新疆海拔高、面积大的高山湖湖水浩瀚无垠、湖滨草地,绿高盈尺,湖泊四周群山环绕 ，四季白雪皑皑，各种山花绽放遍野，一湖碧水随风变幻着迷人的色彩 ，赛里木湖像一颗璀璨的蓝宝石高悬于西天山之间的断陷盆地中 ，赛里木湖是哈萨克语 ，是祝愿的意思；因传说赛里木湖是由一对为爱殉情的年轻恋人的泪水汇集而成的，又被称为天池和乳海。最后入住酒店休息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早餐：含；午餐：含；晚餐：含；住宿：新源县/那拉提</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奎屯市-独山子大峡谷-昌吉市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酒店享用早餐；后前往参观【独山子大峡谷】拥有"独库秘境，亿年奇观"之称的独山子大峡谷位于新疆克拉玛依市独山子区境内 ，城区南28千米处， 山区附近交通便利四通八达。景区谷底宽100-400米，谷肩宽800-1000米，从谷底到谷肩高可达200米，海拔1070米，属峡谷地势样貌。曾荣登国家地理杂志 ，全国最美公路独库公路第一景 ，电视剧《九州缥缈录》、电影《飞驰人生》拍摄取景地。晚至昌吉 ，入住酒店。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昌吉市-和田玉文化馆-火焰山-坎儿井-维吾尔家访-昌吉市/乌市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酒店享用早餐；前往【新疆和田玉玉器城 ，参观游览2小时】和田玉在我国至少也有3000 多年的悠久历史 ，是中华民族文化宝库中的珍贵遗产和艺术瑰宝 ，具有极其深厚的文化底蕴。我国是世界历史上惟一将玉与人性化相共融的国家。如今这种玩玉戴玉的习惯也一直在延续 ，遇到过许多已为人父母的顾客 ，千挑万选只为给儿女选一块值得戴一生的好玉。现时兴的首饰虽美 ，却总经不起时间的考验 ，但玉只会越戴越润 ，越戴越美。前往西游记中的孙悟空三借芭蕉扇【火焰山】(游览约40分钟)参观火焰山维吾尔语称“克孜勒塔格”意为“红山‘’唐人以其炎热曾名为“火山”。 山长100多公里、最宽处达 10公里 ，火焰山是中国最热的地方 ，夏季最高气温高达摄氏47.8度 ，地表最高温度高达摄氏70度以上 ，沙窝里可烤熟鸡蛋。后观【坎儿井】(游览约40分钟)坎儿井是荒漠地区一特殊灌溉系统，与万里长城、京杭大运河并称为中国古代三大工程。赠送【维吾尔族家访】(赠送项目如遇特殊情况费用不退）游览结束后返回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昌吉市/乌市-和田玉-棉驼绒文化馆-天池景区-S21公路-福海</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酒店享用早餐；前往【新疆和田玉玉器城 ，参观游览2小时】和田玉在我国至少也有3000多年的悠久历史 ，是中华民族文化宝库中的珍贵遗产和艺术瑰宝 ，具有极其深厚的文化底蕴。我国是世界历史上惟一将玉与人性化相共融的国家。如今这种玩玉戴玉的习惯也一直在延续 ，遇到过许多已为人父母的顾客 ，千挑万选只为给儿女选一块值得戴一生的好玉。现时兴的首饰虽美 ，却总经不起时间的考验 ，但玉只会越戴越润 ，越戴越美。参观【新疆驼绒棉文化馆】或【中国彩棉】,新疆驼绒具有良好的耐磨性。驼绒本身因为其纤维细长、拉力大、弹性强、光泽好 ，再通过先进的加工工艺更可使它具有了超强耐磨的特点。新疆长绒棉以其得天独厚的条件,近两年已然成为全国棉花产量第一的地区。丰富的水光热资源、先天优势的气候条件 ，让新疆地区的棉花种植得到了广泛的推广，每一年均为各个生产线提供优质的棉花。品质优势一骑绝尘 ，让新疆棉花一度走到了大众眼前,获得了认可和支持。后乘车前往“人间瑶池”【天山天池风景区】 ，天池是国新疆维吾尔自治区著名湖泊 ，在博格达峰北坡山腰。湖面海拔1910米 ，南北长3.5公里，东西宽0.8～1.5公里 ，最深处103米。天池成因有古冰蚀-终碛堰塞湖和山崩滑坡堰塞湖两说。游览石门一线、西小天池、大天池、定海神针、东小天池、南山望雪、西山观松。观赏雪峰倒映，湖水清绿的世外美境，有种回归山川森林的感觉。前往新晋网红公路【S21沙漠公路】S21沙漠公路穿越的是新疆第二大沙漠古尔班通古特沙漠。这里有连绵起伏的金色沙丘 ，在阳光照耀下熠熠生辉 ，仿佛一片金色的海洋。沙丘形态各异 ，有的像金字塔 ，有的像波浪 ，还有的像新月 ，展现出大自然的鬼斧神工。后前往福海酒店入住。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早餐：含；午餐：含；晚餐：含；住宿：福海</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福海县-禾木村-贾登峪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酒店享用早餐 ，乘车前往【禾木村】摄影家的天堂美如画卷。登【成吉思汗点将台】， 自然形成的高山草甸 ，远远看去像一个平台 ，相传成吉思汗曾在此检阅过十万雄师 ，站在点将台上 ，可眺望山下整个禾木村落 ，这里也是拍摄禾木村的最佳取景地。 山下的禾木村景色优美 ，木刻楞错落有致的散落在平地间 ，依山傍水、桦树成荫；赏中国最美的【白桦林】 ，禾木村是一个被白桦树、雪山、河流包围的美丽村庄、原始风光 ，人迹罕至 ，被誉为“神的自留地”【禾木河】前往贾登峪入住酒店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贾登峪-喀纳斯-五彩滩-乌尔禾</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酒店享用早餐 ，乘车前往游览东方瑞士之称的【喀纳斯】(参观时间4小时) ，这里每一朵花 ，每一棵树 ，每一片湖 ，都是纯天然形成 ，没有一丝人工打造的痕迹。更深入走进喀纳斯后 ，你会领略到真正的大自然恩赐---喀纳斯三湾 ，即沿喀纳斯河依次而现的【神仙湾】、【月亮湾】和【卧龙湾】这三湾是喀纳斯代表性看点 ，碧波微澜 ，青山绿水 ，如诗如画 ，无不让人留恋忘返 ，世界上再也没有哪块地方能比她宁静 ，再也没有哪片湖水似她那么柔情。图瓦人是一支古老的民族,以游牧、狩猎为生。近四百年来 ，定居喀纳斯湖畔 ，他们勇敢强悍 ，善骑术、善滑雪、能歌善舞 ，现基本保持着比较原始的生活方式。原木垒起的木屋散布村中、小桥流水、炊烟袅袅、奶酒飘香       。后按导游约定时间在景区停车场集合前往酒店休息！后乘车前往【五彩滩】（参观时间约1.5小时)这一自然是与人文交织的奇迹 ，是大自然鬼斧神工的杰作。其独特之处在于色彩斑斓的雅丹地貌、额尔齐斯河的碧水及日落时分的梦幻景象 ，共同构成了一幅幅令人叹为观止的画面。当夕阳西下 ，天边的云彩被染成了金色、橙色和紫色 ，与五彩滩的色彩相互辉映 ，整个景象变得梦幻而浪漫。乘车前往乌尔禾入住酒店。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早餐：含；午餐：含；晚餐：含；住宿：乌尔禾</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乌尔禾-世界魔鬼城景区-昌吉市/乌鲁木齐市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酒店享用早餐 ，乘车前往位于中国石油第一城克拉玛依的【世界魔鬼城】（约3小时） 前往酒店入住。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早餐：含；午餐：含；晚餐：含；住宿：昌吉市/乌鲁木齐市</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乌市-昆明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早餐后自由活动 ，根据火车时间送火车站 ，返回昆明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抵达昆明后散团</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1、大交通： 昆明乌鲁木齐往返火车硬卧 ，铺位随机 ，不接受指定铺位；2、旅游用车：豪华空调旅游车（根据具体人数安排相应的车辆 ，每人一正座）3、旅游住宿：全程当地四星酒店+升级2晚当地五星酒店+2晚景区附近标间（喀纳斯和那拉提条件有限，只提供景区附近标间），酒店不提供三人间或加床（成人不允许不占床；单房差自理）。4、旅游用餐：全程含11早餐21正餐 ，正餐餐标30元/人（酒店含早 ，八菜一汤 ，十人一桌，不吃不退 ，20人以上赠送新疆风烤全羊）如人数不足十人，将根据实际人数酌情安排用餐；酒店含早；（所有团队餐不用不退）。5、景点门票：包含行程所列首道景点门票及区间车，景点门票报价已为旅行社团队折扣价，故行程景点门票对所有证件（如学生证、教师证、军官证、老年证等证件等）均不再享受任何优惠政策 ，其优惠价格及门票未产生的一概不予退还。赠送项目若无法参观或客人放弃游览的所有费用不退不免！不做等价交换！6、导游服务 ：当地中文导游服务、持全国导游资格证上岗:（人数不足10人 ，不提供导游服务，司机提供简单讲解及服务）7、儿童标准 ：2-11周岁儿童报价只含车费、半价餐费、不含其他门票不含床位费（早餐费用现付），如身高超高产生门票及其他费用由家长现付；小孩请携带户口本本人页原件；8、旅游保险：含旅行社责任险；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关于游客意见单反馈单的特别声明(1)游客意见反馈单作为当地接待质量的唯一标准，请游客一定认真填写。游客的投诉诉求必须以在新疆当地解决，以游客自行填写的意见单为主要依据，其他的诉求理由我社不予受理。恕不受理客人虚填或不填意见书或在新疆当地填的很好 ，回家后再无理投诉而产生的后续争议。（特别是回去后说意见单照顾导游面子或怕导游威逼利诱而虚填的任何投诉）。(2)签署意见单，确实代表本人真实意愿，如有胁迫等因素，可直接拨打应急联系人电话处理意见 ，直至接待问题全部处理完毕。旅行社不受理返回后的任何投诉。2、 由于此产品为跟团打包价提前预定产品 ，故游客因个人原因（包括身体疾病）取消行程或者取消行程中的部分项目，费用不退不免，不做等价交换。行程途中不可离团，否则我们视为自动放弃行程 ，立即终止合同。无法提供后续服务 ，包括返程的交通也无法提供！行程游览景点顺序可根据实际情况的变化而调整游览次序及时间。但不减少景点，我社保留调整权。3、如当日收客人数不足10人 ，司机兼导游；4、 因交通延误、航班取消、罢工、天气、 自然灾害、政府政策性调价等不可抗拒的因素导致行程延误及变更 ，产生额外的费用 ，请客人自行承担。5、 由于新疆地处最西北， 山区高海拔多、夏季天气干燥炎热 ，景区距离车程时间长 ，且路途颠簸 ，不建议75岁以上老人参团 ，如要参团 ，需有45-68 岁之间年龄段家属1带1陪同方可接待，如无家属陪同，需提供三级甲等医院近一周内身体健康证明书、按成本操作，必须填写《参团免责声明》 ，直系亲属签字确认 ，如故意隐瞒真实情况 ，后果责任自行负责；6、如出现单男单女 ，我社有权安排标间加床或三人间 ，如客人不同意请补足房差。7、儿童1.2米以下（含旅游车位、餐位、产生其他费用全部自理），儿童超过1.2米以上同成人。 8、如因客人自身原因误机或火车 ，损失请客人自负 ，本公司不做任何赔偿。9、 因客人自身原因或人力不可抗拒因素或遇政策性调整导致机票、车费、 门票价格等行程中的费用增加由客人自己承担，我社不承担此费用，如因客人自身原因造成景点未参观或行程所含餐未用 ，不予退还；10、标注的酒店如遇政府会议征用无法安排入住 ，我社只承诺按同档次同价位酒店安排。11、组团社与游客之间务必签署由我社提供的《补充协议》、游客在旅游行程中和自由活动期间，因为自身原因擅自离团或退团，视为违约在先，我公司有权终止后续的一切旅游接待服务 ，不退任何剩余的费用、及赠送项目费用 ，并需要补齐实际产生的成本费用 ，游客退团后所产生的一切费用和人身及财产意外与我公司无任何责任关系。12新疆地域广阔，不可复制的景点、活动较多，行万里路，为不留遗憾，我社将特色景点及活动作为推荐自费项目罗列。客人可根据兴趣及自身条件自愿自选参加。 同车游客有50%以上同意参加行程内推荐的自费项目，并经客人签字同意，导游方可陪同大部分游客前往。个别如因（已参加过、条件限制、不感兴趣等原因）不参加的，经客人同意签字由导游妥善安排休息或自由活动。在休息点或景点门口按约定时间等候其它客人。13此产品受新疆维吾尔自治区旅游局、各景区大力支持，门票已享受最优惠政策，在旅游过程中，如未产生的门票，我社不予退款；持有特殊证件的游客，如老年证、导游证、经理资格证、军官证、学生证等等证件 ，均不可再次享受门票优惠或退费政策；此行程未产生的门票、用餐、住宿、车费等所有一切费用 ，一律不退；14、出行前请检查购买飞机票及火车票所使用的身份证件是否在有效期内，若因自身原因造成成行由旅游者自行承担责任。</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13308806731</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2026/5/15 10:38:38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