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昭通/昭航</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安总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徐立欣</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19969206235</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2026-05-19 CZ5728 昆明→乌鲁木齐 20:05-00:25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2026-05-26 CZ5727 乌鲁木齐→昆明 15:00-18:5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1、刘自凤</w:t>
            </w:r>
          </w:p>
        </w:tc>
        <w:tc>
          <w:tcPr>
            <w:tcW w:w="2310" w:type="dxa"/>
            <w:vAlign w:val="center"/>
            <w:gridSpan w:val="2"/>
          </w:tcPr>
          <w:p>
            <w:pPr/>
            <w:r>
              <w:rPr>
                <w:lang w:val="zh-CN"/>
                <w:rFonts w:ascii="Times New Roman" w:hAnsi="Times New Roman" w:cs="Times New Roman"/>
                <w:sz w:val="20"/>
                <w:szCs w:val="20"/>
                <w:color w:val="000000"/>
              </w:rPr>
              <w:t>532101195712030049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2、刘润</w:t>
            </w:r>
          </w:p>
        </w:tc>
        <w:tc>
          <w:tcPr>
            <w:tcW w:w="2310" w:type="dxa"/>
            <w:vAlign w:val="center"/>
            <w:gridSpan w:val="2"/>
          </w:tcPr>
          <w:p>
            <w:pPr/>
            <w:r>
              <w:rPr>
                <w:lang w:val="zh-CN"/>
                <w:rFonts w:ascii="Times New Roman" w:hAnsi="Times New Roman" w:cs="Times New Roman"/>
                <w:sz w:val="20"/>
                <w:szCs w:val="20"/>
                <w:color w:val="000000"/>
              </w:rPr>
              <w:t>532101197408260041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3、文春惠</w:t>
            </w:r>
          </w:p>
        </w:tc>
        <w:tc>
          <w:tcPr>
            <w:tcW w:w="2310" w:type="dxa"/>
            <w:vAlign w:val="center"/>
            <w:gridSpan w:val="2"/>
          </w:tcPr>
          <w:p>
            <w:pPr/>
            <w:r>
              <w:rPr>
                <w:lang w:val="zh-CN"/>
                <w:rFonts w:ascii="Times New Roman" w:hAnsi="Times New Roman" w:cs="Times New Roman"/>
                <w:sz w:val="20"/>
                <w:szCs w:val="20"/>
                <w:color w:val="000000"/>
              </w:rPr>
              <w:t>532101196607240049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4、文春秀</w:t>
            </w:r>
          </w:p>
        </w:tc>
        <w:tc>
          <w:tcPr>
            <w:tcW w:w="2310" w:type="dxa"/>
            <w:vAlign w:val="center"/>
            <w:gridSpan w:val="2"/>
          </w:tcPr>
          <w:p>
            <w:pPr/>
            <w:r>
              <w:rPr>
                <w:lang w:val="zh-CN"/>
                <w:rFonts w:ascii="Times New Roman" w:hAnsi="Times New Roman" w:cs="Times New Roman"/>
                <w:sz w:val="20"/>
                <w:szCs w:val="20"/>
                <w:color w:val="000000"/>
              </w:rPr>
              <w:t>532101196404150027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5、李开琼</w:t>
            </w:r>
          </w:p>
        </w:tc>
        <w:tc>
          <w:tcPr>
            <w:tcW w:w="2310" w:type="dxa"/>
            <w:vAlign w:val="center"/>
            <w:gridSpan w:val="2"/>
          </w:tcPr>
          <w:p>
            <w:pPr/>
            <w:r>
              <w:rPr>
                <w:lang w:val="zh-CN"/>
                <w:rFonts w:ascii="Times New Roman" w:hAnsi="Times New Roman" w:cs="Times New Roman"/>
                <w:sz w:val="20"/>
                <w:szCs w:val="20"/>
                <w:color w:val="000000"/>
              </w:rPr>
              <w:t>532101196006130928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6、刘红</w:t>
            </w:r>
          </w:p>
        </w:tc>
        <w:tc>
          <w:tcPr>
            <w:tcW w:w="2310" w:type="dxa"/>
            <w:vAlign w:val="center"/>
            <w:gridSpan w:val="2"/>
          </w:tcPr>
          <w:p>
            <w:pPr/>
            <w:r>
              <w:rPr>
                <w:lang w:val="zh-CN"/>
                <w:rFonts w:ascii="Times New Roman" w:hAnsi="Times New Roman" w:cs="Times New Roman"/>
                <w:sz w:val="20"/>
                <w:szCs w:val="20"/>
                <w:color w:val="000000"/>
              </w:rPr>
              <w:t>532101196906030025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7、聂忠英</w:t>
            </w:r>
          </w:p>
        </w:tc>
        <w:tc>
          <w:tcPr>
            <w:tcW w:w="2310" w:type="dxa"/>
            <w:vAlign w:val="center"/>
            <w:gridSpan w:val="2"/>
          </w:tcPr>
          <w:p>
            <w:pPr/>
            <w:r>
              <w:rPr>
                <w:lang w:val="zh-CN"/>
                <w:rFonts w:ascii="Times New Roman" w:hAnsi="Times New Roman" w:cs="Times New Roman"/>
                <w:sz w:val="20"/>
                <w:szCs w:val="20"/>
                <w:color w:val="000000"/>
              </w:rPr>
              <w:t>532101195702060965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8、代晓燕</w:t>
            </w:r>
          </w:p>
        </w:tc>
        <w:tc>
          <w:tcPr>
            <w:tcW w:w="2310" w:type="dxa"/>
            <w:vAlign w:val="center"/>
            <w:gridSpan w:val="2"/>
          </w:tcPr>
          <w:p>
            <w:pPr/>
            <w:r>
              <w:rPr>
                <w:lang w:val="zh-CN"/>
                <w:rFonts w:ascii="Times New Roman" w:hAnsi="Times New Roman" w:cs="Times New Roman"/>
                <w:sz w:val="20"/>
                <w:szCs w:val="20"/>
                <w:color w:val="000000"/>
              </w:rPr>
              <w:t>532101197107220927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8</w:t>
            </w:r>
          </w:p>
        </w:tc>
        <w:tc>
          <w:tcPr>
            <w:tcW w:w="2310" w:type="dxa"/>
          </w:tcPr>
          <w:p>
            <w:pPr/>
            <w:r>
              <w:rPr>
                <w:lang w:val="zh-CN"/>
                <w:rFonts w:ascii="Times New Roman" w:hAnsi="Times New Roman" w:cs="Times New Roman"/>
                <w:sz w:val="20"/>
                <w:szCs w:val="20"/>
                <w:color w:val="000000"/>
              </w:rPr>
              <w:t>2679.00</w:t>
            </w:r>
          </w:p>
        </w:tc>
        <w:tc>
          <w:tcPr>
            <w:tcW w:w="2310" w:type="dxa"/>
          </w:tcPr>
          <w:p>
            <w:pPr/>
            <w:r>
              <w:rPr>
                <w:lang w:val="zh-CN"/>
                <w:rFonts w:ascii="Times New Roman" w:hAnsi="Times New Roman" w:cs="Times New Roman"/>
                <w:sz w:val="20"/>
                <w:szCs w:val="20"/>
                <w:color w:val="000000"/>
              </w:rPr>
              <w:t>21432.00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总金额：贰万壹仟肆佰叁拾贰元整</w:t>
            </w:r>
          </w:p>
        </w:tc>
        <w:tc>
          <w:tcPr>
            <w:tcW w:w="2310" w:type="dxa"/>
            <w:textDirection w:val="right"/>
            <w:gridSpan w:val="3"/>
          </w:tcPr>
          <w:p>
            <w:pPr/>
            <w:r>
              <w:rPr>
                <w:lang w:val="zh-CN"/>
                <w:rFonts w:ascii="Times New Roman" w:hAnsi="Times New Roman" w:cs="Times New Roman"/>
                <w:b/>
                <w:color w:val="FF0000"/>
              </w:rPr>
              <w:t>21432.00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30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安总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徐立欣</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10:34:51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